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rPr>
          <w:rFonts w:hint="default" w:ascii="Times New Roman" w:hAnsi="Times New Roman" w:eastAsia="华文细黑" w:cs="Times New Roman"/>
          <w:b/>
          <w:bCs/>
          <w:color w:val="000000"/>
          <w:sz w:val="44"/>
          <w:szCs w:val="24"/>
        </w:rPr>
      </w:pPr>
    </w:p>
    <w:p>
      <w:pPr>
        <w:widowControl/>
        <w:tabs>
          <w:tab w:val="center" w:pos="4649"/>
          <w:tab w:val="right" w:pos="9299"/>
        </w:tabs>
        <w:adjustRightInd w:val="0"/>
        <w:snapToGrid w:val="0"/>
        <w:spacing w:before="60" w:after="200" w:line="360" w:lineRule="auto"/>
        <w:ind w:firstLine="880"/>
        <w:jc w:val="center"/>
        <w:rPr>
          <w:rFonts w:hint="default" w:ascii="Times New Roman" w:hAnsi="Times New Roman" w:eastAsia="黑体" w:cs="Times New Roman"/>
          <w:color w:val="000000"/>
          <w:sz w:val="44"/>
          <w:szCs w:val="44"/>
        </w:rPr>
      </w:pP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eastAsia" w:ascii="Times New Roman" w:hAnsi="Times New Roman" w:eastAsia="宋体" w:cs="Times New Roman"/>
          <w:b/>
          <w:color w:val="000000"/>
          <w:sz w:val="44"/>
          <w:szCs w:val="44"/>
          <w:lang w:eastAsia="zh-CN"/>
        </w:rPr>
      </w:pPr>
      <w:r>
        <w:rPr>
          <w:rFonts w:hint="eastAsia" w:eastAsia="宋体" w:cs="Times New Roman"/>
          <w:b/>
          <w:color w:val="000000"/>
          <w:sz w:val="44"/>
          <w:szCs w:val="44"/>
          <w:lang w:eastAsia="zh-CN"/>
        </w:rPr>
        <w:t>川投甘肃能源有限责任公司</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r>
        <w:rPr>
          <w:rFonts w:hint="eastAsia" w:eastAsia="宋体" w:cs="Times New Roman"/>
          <w:b/>
          <w:color w:val="000000"/>
          <w:sz w:val="44"/>
          <w:szCs w:val="44"/>
          <w:lang w:eastAsia="zh-CN"/>
        </w:rPr>
        <w:t>陇电入川配套能源基地</w:t>
      </w:r>
      <w:r>
        <w:rPr>
          <w:rFonts w:hint="default" w:ascii="Times New Roman" w:hAnsi="Times New Roman" w:eastAsia="宋体" w:cs="Times New Roman"/>
          <w:b/>
          <w:color w:val="000000"/>
          <w:sz w:val="44"/>
          <w:szCs w:val="44"/>
          <w:lang w:eastAsia="zh-CN"/>
        </w:rPr>
        <w:t>2×1000MW燃煤</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bookmarkStart w:id="277" w:name="_GoBack"/>
      <w:bookmarkEnd w:id="277"/>
      <w:r>
        <w:rPr>
          <w:rFonts w:hint="default" w:ascii="Times New Roman" w:hAnsi="Times New Roman" w:eastAsia="宋体" w:cs="Times New Roman"/>
          <w:b/>
          <w:color w:val="000000"/>
          <w:sz w:val="44"/>
          <w:szCs w:val="44"/>
          <w:lang w:eastAsia="zh-CN"/>
        </w:rPr>
        <w:t>发电项目</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rPr>
      </w:pPr>
      <w:r>
        <w:rPr>
          <w:rFonts w:hint="default" w:ascii="Times New Roman" w:hAnsi="Times New Roman" w:eastAsia="宋体" w:cs="Times New Roman"/>
          <w:b/>
          <w:color w:val="000000"/>
          <w:sz w:val="44"/>
          <w:szCs w:val="44"/>
        </w:rPr>
        <w:t>可行性研究服务</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r>
        <w:rPr>
          <w:rFonts w:hint="default" w:ascii="Times New Roman" w:hAnsi="Times New Roman" w:eastAsia="宋体" w:cs="Times New Roman"/>
          <w:b/>
          <w:color w:val="000000"/>
          <w:sz w:val="44"/>
          <w:szCs w:val="44"/>
          <w:lang w:eastAsia="zh-CN"/>
        </w:rPr>
        <w:t>技术规范书</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p>
    <w:p>
      <w:pPr>
        <w:pStyle w:val="2"/>
        <w:rPr>
          <w:rFonts w:hint="default" w:ascii="Times New Roman" w:hAnsi="Times New Roman" w:eastAsia="宋体" w:cs="Times New Roman"/>
          <w:b/>
          <w:color w:val="000000"/>
          <w:sz w:val="44"/>
          <w:szCs w:val="44"/>
          <w:lang w:eastAsia="zh-CN"/>
        </w:rPr>
      </w:pPr>
    </w:p>
    <w:p>
      <w:pPr>
        <w:rPr>
          <w:rFonts w:hint="default" w:ascii="Times New Roman" w:hAnsi="Times New Roman" w:eastAsia="宋体" w:cs="Times New Roman"/>
          <w:b/>
          <w:color w:val="000000"/>
          <w:sz w:val="44"/>
          <w:szCs w:val="44"/>
          <w:lang w:eastAsia="zh-CN"/>
        </w:rPr>
      </w:pPr>
    </w:p>
    <w:p>
      <w:pPr>
        <w:pStyle w:val="2"/>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color w:val="000000"/>
          <w:sz w:val="32"/>
          <w:szCs w:val="32"/>
          <w:lang w:eastAsia="zh-CN"/>
        </w:rPr>
      </w:pPr>
      <w:r>
        <w:rPr>
          <w:rFonts w:hint="default" w:ascii="Times New Roman" w:hAnsi="Times New Roman" w:eastAsia="宋体" w:cs="Times New Roman"/>
          <w:b/>
          <w:color w:val="000000"/>
          <w:sz w:val="32"/>
          <w:szCs w:val="32"/>
          <w:lang w:eastAsia="zh-CN"/>
        </w:rPr>
        <w:t>招标方：</w:t>
      </w:r>
      <w:r>
        <w:rPr>
          <w:rFonts w:hint="eastAsia" w:eastAsia="宋体" w:cs="Times New Roman"/>
          <w:b/>
          <w:color w:val="000000"/>
          <w:sz w:val="32"/>
          <w:szCs w:val="32"/>
          <w:lang w:eastAsia="zh-CN"/>
        </w:rPr>
        <w:t>川投甘肃能源有限责任公司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color w:val="000000"/>
          <w:sz w:val="32"/>
          <w:szCs w:val="32"/>
          <w:lang w:val="en-US" w:eastAsia="zh-CN"/>
        </w:rPr>
      </w:pPr>
      <w:r>
        <w:rPr>
          <w:rFonts w:hint="default" w:ascii="Times New Roman" w:hAnsi="Times New Roman" w:eastAsia="宋体" w:cs="Times New Roman"/>
          <w:b/>
          <w:color w:val="000000"/>
          <w:sz w:val="32"/>
          <w:szCs w:val="32"/>
          <w:lang w:val="en-US" w:eastAsia="zh-CN"/>
        </w:rPr>
        <w:t>202</w:t>
      </w:r>
      <w:r>
        <w:rPr>
          <w:rFonts w:hint="eastAsia" w:eastAsia="宋体" w:cs="Times New Roman"/>
          <w:b/>
          <w:color w:val="000000"/>
          <w:sz w:val="32"/>
          <w:szCs w:val="32"/>
          <w:lang w:val="en-US" w:eastAsia="zh-CN"/>
        </w:rPr>
        <w:t>4</w:t>
      </w:r>
      <w:r>
        <w:rPr>
          <w:rFonts w:hint="default" w:ascii="Times New Roman" w:hAnsi="Times New Roman" w:eastAsia="宋体" w:cs="Times New Roman"/>
          <w:b/>
          <w:color w:val="000000"/>
          <w:sz w:val="32"/>
          <w:szCs w:val="32"/>
          <w:lang w:val="en-US" w:eastAsia="zh-CN"/>
        </w:rPr>
        <w:t>年</w:t>
      </w:r>
      <w:r>
        <w:rPr>
          <w:rFonts w:hint="eastAsia" w:eastAsia="宋体" w:cs="Times New Roman"/>
          <w:b/>
          <w:color w:val="000000"/>
          <w:sz w:val="32"/>
          <w:szCs w:val="32"/>
          <w:lang w:val="en-US" w:eastAsia="zh-CN"/>
        </w:rPr>
        <w:t>10</w:t>
      </w:r>
      <w:r>
        <w:rPr>
          <w:rFonts w:hint="default" w:ascii="Times New Roman" w:hAnsi="Times New Roman" w:eastAsia="宋体" w:cs="Times New Roman"/>
          <w:b/>
          <w:color w:val="000000"/>
          <w:sz w:val="32"/>
          <w:szCs w:val="32"/>
          <w:lang w:val="en-US" w:eastAsia="zh-CN"/>
        </w:rPr>
        <w:t>月</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default" w:ascii="Times New Roman" w:hAnsi="Times New Roman" w:eastAsia="宋体" w:cs="Times New Roman"/>
          <w:b/>
          <w:color w:val="000000"/>
          <w:sz w:val="44"/>
          <w:szCs w:val="44"/>
          <w:lang w:eastAsia="zh-CN"/>
        </w:rPr>
      </w:pPr>
    </w:p>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default" w:ascii="Times New Roman" w:hAnsi="Times New Roman" w:cs="Times New Roman"/>
          <w:b/>
          <w:bCs/>
          <w:sz w:val="36"/>
          <w:szCs w:val="36"/>
        </w:rPr>
      </w:pPr>
      <w:bookmarkStart w:id="0" w:name="_Toc31077_WPSOffice_Type1"/>
      <w:r>
        <w:rPr>
          <w:rFonts w:hint="default" w:ascii="Times New Roman" w:hAnsi="Times New Roman" w:eastAsia="宋体" w:cs="Times New Roman"/>
          <w:b/>
          <w:bCs/>
          <w:sz w:val="36"/>
          <w:szCs w:val="36"/>
        </w:rPr>
        <w:t>目</w:t>
      </w:r>
      <w:r>
        <w:rPr>
          <w:rFonts w:hint="eastAsia" w:ascii="Times New Roman" w:hAnsi="Times New Roman" w:eastAsia="宋体" w:cs="Times New Roman"/>
          <w:b/>
          <w:bCs/>
          <w:sz w:val="36"/>
          <w:szCs w:val="36"/>
          <w:lang w:val="en-US" w:eastAsia="zh-CN"/>
        </w:rPr>
        <w:t xml:space="preserve">  </w:t>
      </w:r>
      <w:r>
        <w:rPr>
          <w:rFonts w:hint="default" w:ascii="Times New Roman" w:hAnsi="Times New Roman" w:eastAsia="宋体" w:cs="Times New Roman"/>
          <w:b/>
          <w:bCs/>
          <w:sz w:val="36"/>
          <w:szCs w:val="36"/>
        </w:rPr>
        <w:t>录</w:t>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_Toc31393_WPSOffice_Level1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1 总则</w:t>
      </w:r>
      <w:r>
        <w:rPr>
          <w:rFonts w:hint="default" w:ascii="Times New Roman" w:hAnsi="Times New Roman" w:cs="Times New Roman"/>
          <w:sz w:val="24"/>
          <w:szCs w:val="24"/>
        </w:rPr>
        <w:tab/>
      </w:r>
      <w:bookmarkStart w:id="1" w:name="_Toc31393_WPSOffice_Level1Page"/>
      <w:r>
        <w:rPr>
          <w:rFonts w:hint="default" w:ascii="Times New Roman" w:hAnsi="Times New Roman" w:cs="Times New Roman"/>
          <w:sz w:val="24"/>
          <w:szCs w:val="24"/>
        </w:rPr>
        <w:t>1</w:t>
      </w:r>
      <w:bookmarkEnd w:id="1"/>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_Toc2108_WPSOffice_Level1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2 项目概况</w:t>
      </w:r>
      <w:r>
        <w:rPr>
          <w:rFonts w:hint="default" w:ascii="Times New Roman" w:hAnsi="Times New Roman" w:cs="Times New Roman"/>
          <w:sz w:val="24"/>
          <w:szCs w:val="24"/>
        </w:rPr>
        <w:tab/>
      </w:r>
      <w:bookmarkStart w:id="2" w:name="_Toc2108_WPSOffice_Level1Page"/>
      <w:r>
        <w:rPr>
          <w:rFonts w:hint="default" w:ascii="Times New Roman" w:hAnsi="Times New Roman" w:cs="Times New Roman"/>
          <w:sz w:val="24"/>
          <w:szCs w:val="24"/>
        </w:rPr>
        <w:t>2</w:t>
      </w:r>
      <w:bookmarkEnd w:id="2"/>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_Toc6229_WPSOffice_Level1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3 工作范围</w:t>
      </w:r>
      <w:r>
        <w:rPr>
          <w:rFonts w:hint="default" w:ascii="Times New Roman" w:hAnsi="Times New Roman" w:cs="Times New Roman"/>
          <w:sz w:val="24"/>
          <w:szCs w:val="24"/>
        </w:rPr>
        <w:tab/>
      </w:r>
      <w:bookmarkStart w:id="3" w:name="_Toc6229_WPSOffice_Level1Page"/>
      <w:r>
        <w:rPr>
          <w:rFonts w:hint="default" w:ascii="Times New Roman" w:hAnsi="Times New Roman" w:cs="Times New Roman"/>
          <w:sz w:val="24"/>
          <w:szCs w:val="24"/>
        </w:rPr>
        <w:t>4</w:t>
      </w:r>
      <w:bookmarkEnd w:id="3"/>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_Toc15872_WPSOffice_Level1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4 技术要求</w:t>
      </w:r>
      <w:r>
        <w:rPr>
          <w:rFonts w:hint="default" w:ascii="Times New Roman" w:hAnsi="Times New Roman" w:cs="Times New Roman"/>
          <w:sz w:val="24"/>
          <w:szCs w:val="24"/>
        </w:rPr>
        <w:tab/>
      </w:r>
      <w:r>
        <w:rPr>
          <w:rFonts w:hint="eastAsia" w:cs="Times New Roman"/>
          <w:sz w:val="24"/>
          <w:szCs w:val="24"/>
          <w:lang w:val="en-US" w:eastAsia="zh-CN"/>
        </w:rPr>
        <w:t>6</w:t>
      </w:r>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_Toc2315_WPSOffice_Level1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5 成果文件要求</w:t>
      </w:r>
      <w:r>
        <w:rPr>
          <w:rFonts w:hint="default" w:ascii="Times New Roman" w:hAnsi="Times New Roman" w:cs="Times New Roman"/>
          <w:sz w:val="24"/>
          <w:szCs w:val="24"/>
        </w:rPr>
        <w:tab/>
      </w:r>
      <w:bookmarkStart w:id="4" w:name="_Toc2315_WPSOffice_Level1Page"/>
      <w:r>
        <w:rPr>
          <w:rFonts w:hint="default" w:ascii="Times New Roman" w:hAnsi="Times New Roman" w:cs="Times New Roman"/>
          <w:sz w:val="24"/>
          <w:szCs w:val="24"/>
        </w:rPr>
        <w:t>10</w:t>
      </w:r>
      <w:bookmarkEnd w:id="4"/>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_Toc31224_WPSOffice_Level1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6 双方的责任和义务</w:t>
      </w:r>
      <w:r>
        <w:rPr>
          <w:rFonts w:hint="default" w:ascii="Times New Roman" w:hAnsi="Times New Roman" w:cs="Times New Roman"/>
          <w:sz w:val="24"/>
          <w:szCs w:val="24"/>
        </w:rPr>
        <w:tab/>
      </w:r>
      <w:bookmarkStart w:id="5" w:name="_Toc31224_WPSOffice_Level1Page"/>
      <w:r>
        <w:rPr>
          <w:rFonts w:hint="default" w:ascii="Times New Roman" w:hAnsi="Times New Roman" w:cs="Times New Roman"/>
          <w:sz w:val="24"/>
          <w:szCs w:val="24"/>
        </w:rPr>
        <w:t>17</w:t>
      </w:r>
      <w:bookmarkEnd w:id="5"/>
      <w:r>
        <w:rPr>
          <w:rFonts w:hint="default" w:ascii="Times New Roman" w:hAnsi="Times New Roman" w:cs="Times New Roman"/>
          <w:sz w:val="24"/>
          <w:szCs w:val="24"/>
        </w:rPr>
        <w:fldChar w:fldCharType="end"/>
      </w:r>
    </w:p>
    <w:p>
      <w:pPr>
        <w:pStyle w:val="24"/>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_Toc24187_WPSOffice_Level1 </w:instrText>
      </w:r>
      <w:r>
        <w:rPr>
          <w:rFonts w:hint="default" w:ascii="Times New Roman" w:hAnsi="Times New Roman" w:cs="Times New Roman"/>
          <w:sz w:val="24"/>
          <w:szCs w:val="24"/>
        </w:rPr>
        <w:fldChar w:fldCharType="separate"/>
      </w:r>
      <w:r>
        <w:rPr>
          <w:rFonts w:hint="default" w:ascii="Times New Roman" w:hAnsi="Times New Roman" w:eastAsia="宋体" w:cs="Times New Roman"/>
          <w:sz w:val="24"/>
          <w:szCs w:val="24"/>
        </w:rPr>
        <w:t>7 技术差异表</w:t>
      </w:r>
      <w:r>
        <w:rPr>
          <w:rFonts w:hint="default" w:ascii="Times New Roman" w:hAnsi="Times New Roman" w:cs="Times New Roman"/>
          <w:sz w:val="24"/>
          <w:szCs w:val="24"/>
        </w:rPr>
        <w:tab/>
      </w:r>
      <w:bookmarkStart w:id="6" w:name="_Toc24187_WPSOffice_Level1Page"/>
      <w:r>
        <w:rPr>
          <w:rFonts w:hint="default" w:ascii="Times New Roman" w:hAnsi="Times New Roman" w:cs="Times New Roman"/>
          <w:sz w:val="24"/>
          <w:szCs w:val="24"/>
        </w:rPr>
        <w:t>1</w:t>
      </w:r>
      <w:bookmarkEnd w:id="6"/>
      <w:r>
        <w:rPr>
          <w:rFonts w:hint="eastAsia" w:cs="Times New Roman"/>
          <w:sz w:val="24"/>
          <w:szCs w:val="24"/>
          <w:lang w:val="en-US" w:eastAsia="zh-CN"/>
        </w:rPr>
        <w:t>8</w:t>
      </w:r>
      <w:r>
        <w:rPr>
          <w:rFonts w:hint="default" w:ascii="Times New Roman" w:hAnsi="Times New Roman" w:cs="Times New Roman"/>
          <w:sz w:val="24"/>
          <w:szCs w:val="24"/>
        </w:rPr>
        <w:fldChar w:fldCharType="end"/>
      </w:r>
    </w:p>
    <w:bookmarkEnd w:id="0"/>
    <w:p>
      <w:pPr>
        <w:pStyle w:val="2"/>
        <w:pageBreakBefore w:val="0"/>
        <w:kinsoku/>
        <w:wordWrap/>
        <w:overflowPunct/>
        <w:topLinePunct w:val="0"/>
        <w:autoSpaceDE/>
        <w:autoSpaceDN/>
        <w:bidi w:val="0"/>
        <w:adjustRightInd/>
        <w:snapToGrid/>
        <w:spacing w:line="360" w:lineRule="auto"/>
        <w:ind w:firstLine="640"/>
        <w:textAlignment w:val="auto"/>
        <w:rPr>
          <w:rFonts w:hint="default" w:ascii="Times New Roman" w:hAnsi="Times New Roman" w:cs="Times New Roman"/>
          <w:sz w:val="24"/>
          <w:szCs w:val="24"/>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color w:val="auto"/>
          <w:sz w:val="24"/>
          <w:szCs w:val="24"/>
          <w:highlight w:val="none"/>
        </w:rPr>
      </w:pPr>
      <w:bookmarkStart w:id="7" w:name="_Toc18096549"/>
      <w:bookmarkStart w:id="8" w:name="_Toc31393_WPSOffice_Level1"/>
      <w:r>
        <w:rPr>
          <w:rFonts w:hint="default" w:ascii="Times New Roman" w:hAnsi="Times New Roman" w:eastAsia="宋体" w:cs="Times New Roman"/>
          <w:b/>
          <w:color w:val="auto"/>
          <w:sz w:val="24"/>
          <w:szCs w:val="24"/>
          <w:highlight w:val="none"/>
        </w:rPr>
        <w:t>总则</w:t>
      </w:r>
      <w:bookmarkEnd w:id="7"/>
      <w:bookmarkEnd w:id="8"/>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eastAsia" w:eastAsia="宋体" w:cs="Times New Roman"/>
          <w:color w:val="auto"/>
          <w:sz w:val="24"/>
          <w:szCs w:val="24"/>
          <w:highlight w:val="none"/>
          <w:lang w:val="en-US" w:eastAsia="zh-CN"/>
        </w:rPr>
        <w:t>为加快推进陇电入川配套能源基地煤电项目前期工作</w:t>
      </w:r>
      <w:r>
        <w:rPr>
          <w:rFonts w:hint="default" w:ascii="Times New Roman" w:hAnsi="Times New Roman" w:eastAsia="宋体" w:cs="Times New Roman"/>
          <w:color w:val="auto"/>
          <w:sz w:val="24"/>
          <w:szCs w:val="24"/>
          <w:highlight w:val="none"/>
        </w:rPr>
        <w:t>，</w:t>
      </w:r>
      <w:r>
        <w:rPr>
          <w:rFonts w:hint="eastAsia" w:eastAsia="宋体" w:cs="Times New Roman"/>
          <w:color w:val="auto"/>
          <w:sz w:val="24"/>
          <w:szCs w:val="24"/>
          <w:highlight w:val="none"/>
          <w:lang w:eastAsia="zh-CN"/>
        </w:rPr>
        <w:t>川投甘肃能源有限责任公司</w:t>
      </w:r>
      <w:r>
        <w:rPr>
          <w:rFonts w:hint="default" w:ascii="Times New Roman" w:hAnsi="Times New Roman" w:eastAsia="宋体" w:cs="Times New Roman"/>
          <w:color w:val="auto"/>
          <w:sz w:val="24"/>
          <w:szCs w:val="24"/>
          <w:highlight w:val="none"/>
        </w:rPr>
        <w:t>拟开展</w:t>
      </w:r>
      <w:r>
        <w:rPr>
          <w:rFonts w:hint="eastAsia" w:eastAsia="宋体" w:cs="Times New Roman"/>
          <w:color w:val="auto"/>
          <w:sz w:val="24"/>
          <w:szCs w:val="24"/>
          <w:highlight w:val="none"/>
          <w:lang w:val="en-US" w:eastAsia="zh-CN"/>
        </w:rPr>
        <w:t>陇电入川配套能源基地</w:t>
      </w:r>
      <w:r>
        <w:rPr>
          <w:rFonts w:hint="default" w:ascii="Times New Roman" w:hAnsi="Times New Roman" w:eastAsia="宋体" w:cs="Times New Roman"/>
          <w:color w:val="auto"/>
          <w:sz w:val="24"/>
          <w:szCs w:val="24"/>
          <w:highlight w:val="none"/>
          <w:lang w:eastAsia="zh-CN"/>
        </w:rPr>
        <w:t>2×1000MW</w:t>
      </w:r>
      <w:r>
        <w:rPr>
          <w:rFonts w:hint="default" w:ascii="Times New Roman" w:hAnsi="Times New Roman" w:eastAsia="宋体" w:cs="Times New Roman"/>
          <w:color w:val="auto"/>
          <w:sz w:val="24"/>
          <w:szCs w:val="24"/>
          <w:highlight w:val="none"/>
          <w:lang w:val="en-US" w:eastAsia="zh-CN"/>
        </w:rPr>
        <w:t>燃煤</w:t>
      </w:r>
      <w:r>
        <w:rPr>
          <w:rFonts w:hint="default" w:ascii="Times New Roman" w:hAnsi="Times New Roman" w:eastAsia="宋体" w:cs="Times New Roman"/>
          <w:color w:val="auto"/>
          <w:sz w:val="24"/>
          <w:szCs w:val="24"/>
          <w:highlight w:val="none"/>
        </w:rPr>
        <w:t>发电项目</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sz w:val="24"/>
          <w:szCs w:val="24"/>
          <w:highlight w:val="none"/>
          <w:lang w:val="en-US" w:eastAsia="zh-CN"/>
        </w:rPr>
        <w:t>以下简称</w:t>
      </w:r>
      <w:r>
        <w:rPr>
          <w:rFonts w:hint="eastAsia"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可行性研究</w:t>
      </w:r>
      <w:r>
        <w:rPr>
          <w:rFonts w:hint="default" w:ascii="Times New Roman" w:hAnsi="Times New Roman" w:eastAsia="宋体" w:cs="Times New Roman"/>
          <w:sz w:val="24"/>
          <w:szCs w:val="24"/>
          <w:highlight w:val="none"/>
          <w:lang w:val="en-US" w:eastAsia="zh-CN"/>
        </w:rPr>
        <w:t>（以下简称本</w:t>
      </w:r>
      <w:r>
        <w:rPr>
          <w:rFonts w:hint="eastAsia" w:eastAsia="宋体" w:cs="Times New Roman"/>
          <w:sz w:val="24"/>
          <w:szCs w:val="24"/>
          <w:highlight w:val="none"/>
          <w:lang w:val="en-US" w:eastAsia="zh-CN"/>
        </w:rPr>
        <w:t>服务</w:t>
      </w:r>
      <w:r>
        <w:rPr>
          <w:rFonts w:hint="default" w:ascii="Times New Roman" w:hAnsi="Times New Roman" w:eastAsia="宋体" w:cs="Times New Roman"/>
          <w:sz w:val="24"/>
          <w:szCs w:val="24"/>
          <w:highlight w:val="none"/>
          <w:lang w:val="en-US" w:eastAsia="zh-CN"/>
        </w:rPr>
        <w:t>项目）</w:t>
      </w:r>
      <w:r>
        <w:rPr>
          <w:rFonts w:hint="default" w:ascii="Times New Roman" w:hAnsi="Times New Roman" w:eastAsia="宋体" w:cs="Times New Roman"/>
          <w:color w:val="auto"/>
          <w:sz w:val="24"/>
          <w:szCs w:val="24"/>
          <w:highlight w:val="none"/>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bookmarkStart w:id="9" w:name="_Toc5264"/>
      <w:bookmarkStart w:id="10" w:name="_Toc5845"/>
      <w:r>
        <w:rPr>
          <w:rFonts w:hint="default" w:ascii="Times New Roman" w:hAnsi="Times New Roman" w:eastAsia="宋体" w:cs="Times New Roman"/>
          <w:color w:val="auto"/>
          <w:sz w:val="24"/>
          <w:szCs w:val="24"/>
          <w:highlight w:val="none"/>
        </w:rPr>
        <w:t>本技术</w:t>
      </w:r>
      <w:r>
        <w:rPr>
          <w:rFonts w:hint="default" w:ascii="Times New Roman" w:hAnsi="Times New Roman" w:eastAsia="宋体" w:cs="Times New Roman"/>
          <w:color w:val="auto"/>
          <w:sz w:val="24"/>
          <w:szCs w:val="24"/>
          <w:highlight w:val="none"/>
          <w:lang w:eastAsia="zh-CN"/>
        </w:rPr>
        <w:t>规范书</w:t>
      </w:r>
      <w:r>
        <w:rPr>
          <w:rFonts w:hint="default" w:ascii="Times New Roman" w:hAnsi="Times New Roman" w:eastAsia="宋体" w:cs="Times New Roman"/>
          <w:color w:val="auto"/>
          <w:sz w:val="24"/>
          <w:szCs w:val="24"/>
          <w:highlight w:val="none"/>
        </w:rPr>
        <w:t>仅适用于本</w:t>
      </w:r>
      <w:r>
        <w:rPr>
          <w:rFonts w:hint="eastAsia" w:ascii="Times New Roman" w:hAnsi="Times New Roman" w:eastAsia="宋体" w:cs="Times New Roman"/>
          <w:color w:val="auto"/>
          <w:sz w:val="24"/>
          <w:szCs w:val="24"/>
          <w:highlight w:val="none"/>
          <w:lang w:eastAsia="zh-CN"/>
        </w:rPr>
        <w:t>服务</w:t>
      </w: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eastAsia="zh-CN"/>
        </w:rPr>
        <w:t>即</w:t>
      </w:r>
      <w:r>
        <w:rPr>
          <w:rFonts w:hint="eastAsia" w:eastAsia="宋体" w:cs="Times New Roman"/>
          <w:color w:val="auto"/>
          <w:sz w:val="24"/>
          <w:szCs w:val="24"/>
          <w:highlight w:val="none"/>
          <w:lang w:eastAsia="zh-CN"/>
        </w:rPr>
        <w:t>陇电入川配套能源基地</w:t>
      </w:r>
      <w:r>
        <w:rPr>
          <w:rFonts w:hint="default" w:ascii="Times New Roman" w:hAnsi="Times New Roman" w:eastAsia="宋体" w:cs="Times New Roman"/>
          <w:color w:val="auto"/>
          <w:sz w:val="24"/>
          <w:szCs w:val="24"/>
          <w:highlight w:val="none"/>
          <w:lang w:eastAsia="zh-CN"/>
        </w:rPr>
        <w:t>2×1000MW燃煤发电项目</w:t>
      </w:r>
      <w:r>
        <w:rPr>
          <w:rFonts w:hint="default" w:ascii="Times New Roman" w:hAnsi="Times New Roman" w:eastAsia="宋体" w:cs="Times New Roman"/>
          <w:color w:val="auto"/>
          <w:sz w:val="24"/>
          <w:szCs w:val="24"/>
          <w:highlight w:val="none"/>
        </w:rPr>
        <w:t>可行性研究</w:t>
      </w:r>
      <w:r>
        <w:rPr>
          <w:rFonts w:hint="eastAsia" w:ascii="Times New Roman" w:hAnsi="Times New Roman" w:eastAsia="宋体" w:cs="Times New Roman"/>
          <w:color w:val="auto"/>
          <w:sz w:val="24"/>
          <w:szCs w:val="24"/>
          <w:highlight w:val="none"/>
          <w:lang w:eastAsia="zh-CN"/>
        </w:rPr>
        <w:t>服务项目）</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本技术规范就</w:t>
      </w:r>
      <w:r>
        <w:rPr>
          <w:rFonts w:hint="eastAsia" w:ascii="Times New Roman" w:hAnsi="Times New Roman" w:eastAsia="宋体" w:cs="Times New Roman"/>
          <w:color w:val="auto"/>
          <w:sz w:val="24"/>
          <w:szCs w:val="24"/>
          <w:highlight w:val="none"/>
          <w:lang w:eastAsia="zh-CN"/>
        </w:rPr>
        <w:t>本服务</w:t>
      </w:r>
      <w:r>
        <w:rPr>
          <w:rFonts w:hint="default" w:ascii="Times New Roman" w:hAnsi="Times New Roman" w:eastAsia="宋体" w:cs="Times New Roman"/>
          <w:color w:val="auto"/>
          <w:sz w:val="24"/>
          <w:szCs w:val="24"/>
          <w:highlight w:val="none"/>
        </w:rPr>
        <w:t>项目提出了相关工作内容和工作要求，投标方应在投标前到</w:t>
      </w:r>
      <w:r>
        <w:rPr>
          <w:rFonts w:hint="eastAsia" w:eastAsia="宋体" w:cs="Times New Roman"/>
          <w:color w:val="auto"/>
          <w:sz w:val="24"/>
          <w:szCs w:val="24"/>
          <w:highlight w:val="none"/>
          <w:lang w:val="en-US" w:eastAsia="zh-CN"/>
        </w:rPr>
        <w:t>陇电入川配套能源基地</w:t>
      </w:r>
      <w:r>
        <w:rPr>
          <w:rFonts w:hint="default" w:ascii="Times New Roman" w:hAnsi="Times New Roman" w:eastAsia="宋体" w:cs="Times New Roman"/>
          <w:color w:val="auto"/>
          <w:sz w:val="24"/>
          <w:szCs w:val="24"/>
          <w:highlight w:val="none"/>
          <w:lang w:val="en-US" w:eastAsia="zh-CN"/>
        </w:rPr>
        <w:t>场地</w:t>
      </w:r>
      <w:r>
        <w:rPr>
          <w:rFonts w:hint="default" w:ascii="Times New Roman" w:hAnsi="Times New Roman" w:eastAsia="宋体" w:cs="Times New Roman"/>
          <w:color w:val="auto"/>
          <w:sz w:val="24"/>
          <w:szCs w:val="24"/>
          <w:highlight w:val="none"/>
        </w:rPr>
        <w:t>现场勘察</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并根据本技术规范</w:t>
      </w:r>
      <w:r>
        <w:rPr>
          <w:rFonts w:hint="eastAsia" w:ascii="Times New Roman" w:hAnsi="Times New Roman" w:eastAsia="宋体" w:cs="Times New Roman"/>
          <w:color w:val="auto"/>
          <w:sz w:val="24"/>
          <w:szCs w:val="24"/>
          <w:highlight w:val="none"/>
          <w:lang w:eastAsia="zh-CN"/>
        </w:rPr>
        <w:t>书</w:t>
      </w:r>
      <w:r>
        <w:rPr>
          <w:rFonts w:hint="default" w:ascii="Times New Roman" w:hAnsi="Times New Roman" w:eastAsia="宋体" w:cs="Times New Roman"/>
          <w:color w:val="auto"/>
          <w:sz w:val="24"/>
          <w:szCs w:val="24"/>
          <w:highlight w:val="none"/>
        </w:rPr>
        <w:t>的</w:t>
      </w:r>
      <w:r>
        <w:rPr>
          <w:rFonts w:hint="eastAsia" w:ascii="Times New Roman" w:hAnsi="Times New Roman" w:eastAsia="宋体" w:cs="Times New Roman"/>
          <w:color w:val="auto"/>
          <w:sz w:val="24"/>
          <w:szCs w:val="24"/>
          <w:highlight w:val="none"/>
          <w:lang w:eastAsia="zh-CN"/>
        </w:rPr>
        <w:t>相关</w:t>
      </w:r>
      <w:r>
        <w:rPr>
          <w:rFonts w:hint="default" w:ascii="Times New Roman" w:hAnsi="Times New Roman" w:eastAsia="宋体" w:cs="Times New Roman"/>
          <w:color w:val="auto"/>
          <w:sz w:val="24"/>
          <w:szCs w:val="24"/>
          <w:highlight w:val="none"/>
        </w:rPr>
        <w:t>要求编制投标文件</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lang w:eastAsia="zh-CN"/>
        </w:rPr>
        <w:t>投标方</w:t>
      </w:r>
      <w:r>
        <w:rPr>
          <w:rFonts w:hint="eastAsia" w:eastAsia="宋体" w:cs="Times New Roman"/>
          <w:b/>
          <w:bCs/>
          <w:color w:val="auto"/>
          <w:sz w:val="24"/>
          <w:szCs w:val="24"/>
          <w:highlight w:val="none"/>
          <w:lang w:eastAsia="zh-CN"/>
        </w:rPr>
        <w:t>需</w:t>
      </w:r>
      <w:r>
        <w:rPr>
          <w:rFonts w:hint="default" w:ascii="Times New Roman" w:hAnsi="Times New Roman" w:eastAsia="宋体" w:cs="Times New Roman"/>
          <w:b/>
          <w:bCs/>
          <w:color w:val="auto"/>
          <w:sz w:val="24"/>
          <w:szCs w:val="24"/>
          <w:highlight w:val="none"/>
          <w:lang w:eastAsia="zh-CN"/>
        </w:rPr>
        <w:t>具有工程设计综合甲级资质</w:t>
      </w:r>
      <w:r>
        <w:rPr>
          <w:rFonts w:hint="eastAsia" w:eastAsia="宋体" w:cs="Times New Roman"/>
          <w:b/>
          <w:bCs/>
          <w:color w:val="auto"/>
          <w:sz w:val="24"/>
          <w:szCs w:val="24"/>
          <w:highlight w:val="none"/>
          <w:lang w:eastAsia="zh-CN"/>
        </w:rPr>
        <w:t>和工程勘察综合甲级资质。</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eastAsia" w:eastAsia="宋体" w:cs="Times New Roman"/>
          <w:b/>
          <w:bCs/>
          <w:color w:val="auto"/>
          <w:sz w:val="24"/>
          <w:szCs w:val="24"/>
          <w:highlight w:val="none"/>
          <w:lang w:eastAsia="zh-CN"/>
        </w:rPr>
        <w:t>在近</w:t>
      </w:r>
      <w:r>
        <w:rPr>
          <w:rFonts w:hint="eastAsia" w:eastAsia="宋体" w:cs="Times New Roman"/>
          <w:b/>
          <w:bCs/>
          <w:color w:val="auto"/>
          <w:sz w:val="24"/>
          <w:szCs w:val="24"/>
          <w:highlight w:val="none"/>
          <w:lang w:val="en-US" w:eastAsia="zh-CN"/>
        </w:rPr>
        <w:t>5年内（从2019年10月1日至今</w:t>
      </w:r>
      <w:r>
        <w:rPr>
          <w:rFonts w:hint="eastAsia" w:eastAsia="宋体" w:cs="Times New Roman"/>
          <w:b/>
          <w:bCs/>
          <w:color w:val="auto"/>
          <w:sz w:val="24"/>
          <w:szCs w:val="24"/>
          <w:highlight w:val="none"/>
          <w:lang w:eastAsia="zh-CN"/>
        </w:rPr>
        <w:t>，以完成时间为准</w:t>
      </w:r>
      <w:r>
        <w:rPr>
          <w:rFonts w:hint="eastAsia" w:eastAsia="宋体" w:cs="Times New Roman"/>
          <w:b/>
          <w:bCs/>
          <w:color w:val="auto"/>
          <w:sz w:val="24"/>
          <w:szCs w:val="24"/>
          <w:highlight w:val="none"/>
          <w:lang w:val="en-US" w:eastAsia="zh-CN"/>
        </w:rPr>
        <w:t>）</w:t>
      </w:r>
      <w:r>
        <w:rPr>
          <w:rFonts w:hint="default" w:ascii="Times New Roman" w:hAnsi="Times New Roman" w:eastAsia="宋体" w:cs="Times New Roman"/>
          <w:b/>
          <w:bCs/>
          <w:color w:val="auto"/>
          <w:sz w:val="24"/>
          <w:szCs w:val="24"/>
          <w:highlight w:val="none"/>
          <w:lang w:eastAsia="zh-CN"/>
        </w:rPr>
        <w:t>，</w:t>
      </w:r>
      <w:r>
        <w:rPr>
          <w:rFonts w:hint="eastAsia" w:eastAsia="宋体" w:cs="Times New Roman"/>
          <w:b/>
          <w:bCs/>
          <w:color w:val="auto"/>
          <w:sz w:val="24"/>
          <w:szCs w:val="24"/>
          <w:highlight w:val="none"/>
          <w:lang w:eastAsia="zh-CN"/>
        </w:rPr>
        <w:t>投标方应</w:t>
      </w:r>
      <w:r>
        <w:rPr>
          <w:rFonts w:hint="default" w:ascii="Times New Roman" w:hAnsi="Times New Roman" w:eastAsia="宋体" w:cs="Times New Roman"/>
          <w:b/>
          <w:bCs/>
          <w:color w:val="auto"/>
          <w:sz w:val="24"/>
          <w:szCs w:val="24"/>
          <w:highlight w:val="none"/>
          <w:lang w:eastAsia="zh-CN"/>
        </w:rPr>
        <w:t>具有</w:t>
      </w:r>
      <w:r>
        <w:rPr>
          <w:rFonts w:hint="eastAsia" w:eastAsia="宋体" w:cs="Times New Roman"/>
          <w:b/>
          <w:bCs/>
          <w:color w:val="auto"/>
          <w:sz w:val="24"/>
          <w:szCs w:val="24"/>
          <w:highlight w:val="none"/>
          <w:lang w:eastAsia="zh-CN"/>
        </w:rPr>
        <w:t>独立完成</w:t>
      </w:r>
      <w:r>
        <w:rPr>
          <w:rFonts w:hint="default" w:ascii="Times New Roman" w:hAnsi="Times New Roman" w:eastAsia="宋体" w:cs="Times New Roman"/>
          <w:b/>
          <w:bCs/>
          <w:color w:val="auto"/>
          <w:sz w:val="24"/>
          <w:szCs w:val="24"/>
          <w:highlight w:val="none"/>
          <w:lang w:eastAsia="zh-CN"/>
        </w:rPr>
        <w:t>至少</w:t>
      </w:r>
      <w:r>
        <w:rPr>
          <w:rFonts w:hint="eastAsia" w:eastAsia="宋体" w:cs="Times New Roman"/>
          <w:b/>
          <w:bCs/>
          <w:color w:val="auto"/>
          <w:sz w:val="24"/>
          <w:szCs w:val="24"/>
          <w:highlight w:val="none"/>
          <w:lang w:val="en-US" w:eastAsia="zh-CN"/>
        </w:rPr>
        <w:t>2台</w:t>
      </w:r>
      <w:r>
        <w:rPr>
          <w:rFonts w:hint="default" w:ascii="Times New Roman" w:hAnsi="Times New Roman" w:eastAsia="宋体" w:cs="Times New Roman"/>
          <w:b/>
          <w:bCs/>
          <w:color w:val="auto"/>
          <w:sz w:val="24"/>
          <w:szCs w:val="24"/>
          <w:highlight w:val="none"/>
          <w:lang w:val="en-US" w:eastAsia="zh-CN"/>
        </w:rPr>
        <w:t>1000MW</w:t>
      </w:r>
      <w:r>
        <w:rPr>
          <w:rFonts w:hint="default" w:ascii="Times New Roman" w:hAnsi="Times New Roman" w:eastAsia="宋体" w:cs="Times New Roman"/>
          <w:b/>
          <w:bCs/>
          <w:color w:val="auto"/>
          <w:sz w:val="24"/>
          <w:szCs w:val="24"/>
          <w:highlight w:val="none"/>
          <w:lang w:eastAsia="zh-CN"/>
        </w:rPr>
        <w:t>级（或以上）</w:t>
      </w:r>
      <w:r>
        <w:rPr>
          <w:rFonts w:hint="eastAsia" w:eastAsia="宋体" w:cs="Times New Roman"/>
          <w:b/>
          <w:bCs/>
          <w:color w:val="auto"/>
          <w:sz w:val="24"/>
          <w:szCs w:val="24"/>
          <w:highlight w:val="none"/>
          <w:lang w:eastAsia="zh-CN"/>
        </w:rPr>
        <w:t>超超临界发电机组主体</w:t>
      </w:r>
      <w:r>
        <w:rPr>
          <w:rFonts w:hint="default" w:ascii="Times New Roman" w:hAnsi="Times New Roman" w:eastAsia="宋体" w:cs="Times New Roman"/>
          <w:b/>
          <w:bCs/>
          <w:color w:val="auto"/>
          <w:sz w:val="24"/>
          <w:szCs w:val="24"/>
          <w:highlight w:val="none"/>
          <w:lang w:eastAsia="zh-CN"/>
        </w:rPr>
        <w:t>的可行性研究或初步设计</w:t>
      </w:r>
      <w:r>
        <w:rPr>
          <w:rFonts w:hint="eastAsia" w:eastAsia="宋体" w:cs="Times New Roman"/>
          <w:b/>
          <w:bCs/>
          <w:color w:val="auto"/>
          <w:sz w:val="24"/>
          <w:szCs w:val="24"/>
          <w:highlight w:val="none"/>
          <w:lang w:eastAsia="zh-CN"/>
        </w:rPr>
        <w:t>或施工图或勘察设计项目的合同</w:t>
      </w:r>
      <w:r>
        <w:rPr>
          <w:rFonts w:hint="default" w:ascii="Times New Roman" w:hAnsi="Times New Roman" w:eastAsia="宋体" w:cs="Times New Roman"/>
          <w:b/>
          <w:bCs/>
          <w:color w:val="auto"/>
          <w:sz w:val="24"/>
          <w:szCs w:val="24"/>
          <w:highlight w:val="none"/>
          <w:lang w:eastAsia="zh-CN"/>
        </w:rPr>
        <w:t>业绩（须提供业绩证明材料：①包括项目合同封面页、合同范围页、签字页等；②可研或初设</w:t>
      </w:r>
      <w:r>
        <w:rPr>
          <w:rFonts w:hint="eastAsia" w:eastAsia="宋体" w:cs="Times New Roman"/>
          <w:b/>
          <w:bCs/>
          <w:color w:val="auto"/>
          <w:sz w:val="24"/>
          <w:szCs w:val="24"/>
          <w:highlight w:val="none"/>
          <w:lang w:eastAsia="zh-CN"/>
        </w:rPr>
        <w:t>或施工图或勘察设计</w:t>
      </w:r>
      <w:r>
        <w:rPr>
          <w:rFonts w:hint="default" w:ascii="Times New Roman" w:hAnsi="Times New Roman" w:eastAsia="宋体" w:cs="Times New Roman"/>
          <w:b/>
          <w:bCs/>
          <w:color w:val="auto"/>
          <w:sz w:val="24"/>
          <w:szCs w:val="24"/>
          <w:highlight w:val="none"/>
          <w:lang w:eastAsia="zh-CN"/>
        </w:rPr>
        <w:t>项目的</w:t>
      </w:r>
      <w:r>
        <w:rPr>
          <w:rFonts w:hint="eastAsia" w:eastAsia="宋体" w:cs="Times New Roman"/>
          <w:b/>
          <w:bCs/>
          <w:color w:val="auto"/>
          <w:sz w:val="24"/>
          <w:szCs w:val="24"/>
          <w:highlight w:val="none"/>
          <w:lang w:eastAsia="zh-CN"/>
        </w:rPr>
        <w:t>完成</w:t>
      </w:r>
      <w:r>
        <w:rPr>
          <w:rFonts w:hint="default" w:ascii="Times New Roman" w:hAnsi="Times New Roman" w:eastAsia="宋体" w:cs="Times New Roman"/>
          <w:b/>
          <w:bCs/>
          <w:color w:val="auto"/>
          <w:sz w:val="24"/>
          <w:szCs w:val="24"/>
          <w:highlight w:val="none"/>
          <w:lang w:eastAsia="zh-CN"/>
        </w:rPr>
        <w:t>证明资料。业绩证明材料中，需体现相关业绩内容</w:t>
      </w:r>
      <w:r>
        <w:rPr>
          <w:rFonts w:hint="eastAsia" w:eastAsia="宋体" w:cs="Times New Roman"/>
          <w:b/>
          <w:bCs/>
          <w:color w:val="auto"/>
          <w:sz w:val="24"/>
          <w:szCs w:val="24"/>
          <w:highlight w:val="none"/>
          <w:lang w:eastAsia="zh-CN"/>
        </w:rPr>
        <w:t>；③不能提供①、②资料的，</w:t>
      </w:r>
      <w:r>
        <w:rPr>
          <w:rFonts w:hint="eastAsia" w:ascii="Times New Roman" w:hAnsi="Times New Roman" w:eastAsia="宋体" w:cs="Times New Roman"/>
          <w:b/>
          <w:bCs/>
          <w:color w:val="auto"/>
          <w:kern w:val="2"/>
          <w:sz w:val="24"/>
          <w:szCs w:val="24"/>
          <w:highlight w:val="none"/>
          <w:lang w:val="en-US" w:eastAsia="zh-CN" w:bidi="ar"/>
        </w:rPr>
        <w:t>须提供可体现项目评审因素的证明材料并加盖合同业主方或建设单位公章</w:t>
      </w:r>
      <w:r>
        <w:rPr>
          <w:rFonts w:hint="default" w:ascii="Times New Roman" w:hAnsi="Times New Roman" w:eastAsia="宋体" w:cs="Times New Roman"/>
          <w:b/>
          <w:bCs/>
          <w:color w:val="auto"/>
          <w:sz w:val="24"/>
          <w:szCs w:val="24"/>
          <w:highlight w:val="none"/>
          <w:lang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lang w:eastAsia="zh-CN"/>
        </w:rPr>
        <w:t>拟委派本项目的项目经理</w:t>
      </w:r>
      <w:r>
        <w:rPr>
          <w:rFonts w:hint="eastAsia" w:eastAsia="宋体" w:cs="Times New Roman"/>
          <w:b/>
          <w:bCs/>
          <w:color w:val="auto"/>
          <w:sz w:val="24"/>
          <w:szCs w:val="24"/>
          <w:highlight w:val="none"/>
          <w:lang w:eastAsia="zh-CN"/>
        </w:rPr>
        <w:t>（或设计总工程师）</w:t>
      </w:r>
      <w:r>
        <w:rPr>
          <w:rFonts w:hint="default" w:ascii="Times New Roman" w:hAnsi="Times New Roman" w:eastAsia="宋体" w:cs="Times New Roman"/>
          <w:b/>
          <w:bCs/>
          <w:color w:val="auto"/>
          <w:sz w:val="24"/>
          <w:szCs w:val="24"/>
          <w:highlight w:val="none"/>
          <w:lang w:eastAsia="zh-CN"/>
        </w:rPr>
        <w:t>，应具</w:t>
      </w:r>
      <w:r>
        <w:rPr>
          <w:rFonts w:hint="eastAsia" w:eastAsia="宋体" w:cs="Times New Roman"/>
          <w:b/>
          <w:bCs/>
          <w:color w:val="auto"/>
          <w:sz w:val="24"/>
          <w:szCs w:val="24"/>
          <w:highlight w:val="none"/>
          <w:lang w:eastAsia="zh-CN"/>
        </w:rPr>
        <w:t>备高级工程师及以上职称、</w:t>
      </w:r>
      <w:r>
        <w:rPr>
          <w:rFonts w:hint="eastAsia" w:eastAsia="宋体" w:cs="Times New Roman"/>
          <w:b/>
          <w:bCs/>
          <w:color w:val="auto"/>
          <w:sz w:val="24"/>
          <w:szCs w:val="24"/>
          <w:highlight w:val="none"/>
          <w:lang w:val="en-US" w:eastAsia="zh-CN"/>
        </w:rPr>
        <w:t>8年以上设计工作经验，具有</w:t>
      </w:r>
      <w:r>
        <w:rPr>
          <w:rFonts w:hint="default" w:ascii="Times New Roman" w:hAnsi="Times New Roman" w:eastAsia="宋体" w:cs="Times New Roman"/>
          <w:b/>
          <w:bCs/>
          <w:color w:val="auto"/>
          <w:sz w:val="24"/>
          <w:szCs w:val="24"/>
          <w:highlight w:val="none"/>
          <w:lang w:eastAsia="zh-CN"/>
        </w:rPr>
        <w:t>至少</w:t>
      </w:r>
      <w:r>
        <w:rPr>
          <w:rFonts w:hint="eastAsia" w:eastAsia="宋体" w:cs="Times New Roman"/>
          <w:b/>
          <w:bCs/>
          <w:color w:val="auto"/>
          <w:sz w:val="24"/>
          <w:szCs w:val="24"/>
          <w:highlight w:val="none"/>
          <w:lang w:val="en-US" w:eastAsia="zh-CN"/>
        </w:rPr>
        <w:t>2台</w:t>
      </w:r>
      <w:r>
        <w:rPr>
          <w:rFonts w:hint="default" w:ascii="Times New Roman" w:hAnsi="Times New Roman" w:eastAsia="宋体" w:cs="Times New Roman"/>
          <w:b/>
          <w:bCs/>
          <w:color w:val="auto"/>
          <w:sz w:val="24"/>
          <w:szCs w:val="24"/>
          <w:highlight w:val="none"/>
          <w:lang w:val="en-US" w:eastAsia="zh-CN"/>
        </w:rPr>
        <w:t>1000</w:t>
      </w:r>
      <w:r>
        <w:rPr>
          <w:rFonts w:hint="default" w:ascii="Times New Roman" w:hAnsi="Times New Roman" w:eastAsia="宋体" w:cs="Times New Roman"/>
          <w:b/>
          <w:bCs/>
          <w:color w:val="auto"/>
          <w:sz w:val="24"/>
          <w:szCs w:val="24"/>
          <w:highlight w:val="none"/>
          <w:lang w:eastAsia="zh-CN"/>
        </w:rPr>
        <w:t>MW级（或以上）超超临界燃煤发电机组的可行性研究或初步设计</w:t>
      </w:r>
      <w:r>
        <w:rPr>
          <w:rFonts w:hint="eastAsia" w:eastAsia="宋体" w:cs="Times New Roman"/>
          <w:b/>
          <w:bCs/>
          <w:color w:val="auto"/>
          <w:sz w:val="24"/>
          <w:szCs w:val="24"/>
          <w:highlight w:val="none"/>
          <w:lang w:eastAsia="zh-CN"/>
        </w:rPr>
        <w:t>或施工图或勘察设计</w:t>
      </w:r>
      <w:r>
        <w:rPr>
          <w:rFonts w:hint="default" w:ascii="Times New Roman" w:hAnsi="Times New Roman" w:eastAsia="宋体" w:cs="Times New Roman"/>
          <w:b/>
          <w:bCs/>
          <w:color w:val="auto"/>
          <w:sz w:val="24"/>
          <w:szCs w:val="24"/>
          <w:highlight w:val="none"/>
          <w:lang w:eastAsia="zh-CN"/>
        </w:rPr>
        <w:t>项目的项目经理</w:t>
      </w:r>
      <w:r>
        <w:rPr>
          <w:rFonts w:hint="eastAsia" w:eastAsia="宋体" w:cs="Times New Roman"/>
          <w:b/>
          <w:bCs/>
          <w:color w:val="auto"/>
          <w:sz w:val="24"/>
          <w:szCs w:val="24"/>
          <w:highlight w:val="none"/>
          <w:lang w:eastAsia="zh-CN"/>
        </w:rPr>
        <w:t>（或设计总工程师）</w:t>
      </w:r>
      <w:r>
        <w:rPr>
          <w:rFonts w:hint="default" w:ascii="Times New Roman" w:hAnsi="Times New Roman" w:eastAsia="宋体" w:cs="Times New Roman"/>
          <w:b/>
          <w:bCs/>
          <w:color w:val="auto"/>
          <w:sz w:val="24"/>
          <w:szCs w:val="24"/>
          <w:highlight w:val="none"/>
          <w:lang w:eastAsia="zh-CN"/>
        </w:rPr>
        <w:t>业绩（须提供相关证明材料）。</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本次可行性研究报告的深度至少达到《火力发电厂可行性研究报告内容深度规定》（DL/T</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eastAsia="zh-CN"/>
        </w:rPr>
        <w:t>5375</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2018）要求</w:t>
      </w:r>
      <w:r>
        <w:rPr>
          <w:rFonts w:hint="default" w:ascii="Times New Roman" w:hAnsi="Times New Roman" w:eastAsia="宋体" w:cs="Times New Roman"/>
          <w:color w:val="auto"/>
          <w:sz w:val="24"/>
          <w:szCs w:val="24"/>
          <w:highlight w:val="none"/>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投标方</w:t>
      </w:r>
      <w:r>
        <w:rPr>
          <w:rFonts w:hint="eastAsia" w:eastAsia="宋体" w:cs="Times New Roman"/>
          <w:color w:val="auto"/>
          <w:sz w:val="24"/>
          <w:szCs w:val="24"/>
          <w:highlight w:val="none"/>
          <w:lang w:eastAsia="zh-CN"/>
        </w:rPr>
        <w:t>根据情况</w:t>
      </w:r>
      <w:r>
        <w:rPr>
          <w:rFonts w:hint="eastAsia" w:ascii="Times New Roman" w:hAnsi="Times New Roman" w:eastAsia="宋体" w:cs="Times New Roman"/>
          <w:color w:val="auto"/>
          <w:sz w:val="24"/>
          <w:szCs w:val="24"/>
          <w:highlight w:val="none"/>
          <w:lang w:eastAsia="zh-CN"/>
        </w:rPr>
        <w:t>开展</w:t>
      </w:r>
      <w:r>
        <w:rPr>
          <w:rFonts w:hint="default" w:ascii="Times New Roman" w:hAnsi="Times New Roman" w:eastAsia="宋体" w:cs="Times New Roman"/>
          <w:color w:val="auto"/>
          <w:sz w:val="24"/>
          <w:szCs w:val="24"/>
          <w:highlight w:val="none"/>
          <w:lang w:eastAsia="zh-CN"/>
        </w:rPr>
        <w:t>可行性研究涉及的踏勘、调研、相关必要试验等辅助性工作、组织招标方进行类似工程项目的考察等费用均含在</w:t>
      </w:r>
      <w:r>
        <w:rPr>
          <w:rFonts w:hint="eastAsia" w:eastAsia="宋体" w:cs="Times New Roman"/>
          <w:color w:val="auto"/>
          <w:sz w:val="24"/>
          <w:szCs w:val="24"/>
          <w:highlight w:val="none"/>
          <w:lang w:eastAsia="zh-CN"/>
        </w:rPr>
        <w:t>本</w:t>
      </w:r>
      <w:r>
        <w:rPr>
          <w:rFonts w:hint="eastAsia" w:eastAsia="宋体" w:cs="Times New Roman"/>
          <w:b w:val="0"/>
          <w:bCs w:val="0"/>
          <w:color w:val="auto"/>
          <w:sz w:val="24"/>
          <w:szCs w:val="24"/>
          <w:highlight w:val="none"/>
          <w:lang w:eastAsia="zh-CN"/>
        </w:rPr>
        <w:t>服务</w:t>
      </w:r>
      <w:r>
        <w:rPr>
          <w:rFonts w:hint="default" w:ascii="Times New Roman" w:hAnsi="Times New Roman" w:eastAsia="宋体" w:cs="Times New Roman"/>
          <w:b w:val="0"/>
          <w:bCs w:val="0"/>
          <w:color w:val="auto"/>
          <w:sz w:val="24"/>
          <w:szCs w:val="24"/>
          <w:highlight w:val="none"/>
        </w:rPr>
        <w:t>项目</w:t>
      </w:r>
      <w:r>
        <w:rPr>
          <w:rFonts w:hint="default" w:ascii="Times New Roman" w:hAnsi="Times New Roman" w:eastAsia="宋体" w:cs="Times New Roman"/>
          <w:color w:val="auto"/>
          <w:sz w:val="24"/>
          <w:szCs w:val="24"/>
          <w:highlight w:val="none"/>
          <w:lang w:eastAsia="zh-CN"/>
        </w:rPr>
        <w:t>合同总价中，招标方不再另行外委</w:t>
      </w:r>
      <w:r>
        <w:rPr>
          <w:rFonts w:hint="eastAsia" w:eastAsia="宋体" w:cs="Times New Roman"/>
          <w:color w:val="auto"/>
          <w:sz w:val="24"/>
          <w:szCs w:val="24"/>
          <w:highlight w:val="none"/>
          <w:lang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rPr>
      </w:pPr>
      <w:r>
        <w:rPr>
          <w:rFonts w:hint="eastAsia" w:eastAsia="宋体" w:cs="Times New Roman"/>
          <w:b/>
          <w:bCs/>
          <w:color w:val="auto"/>
          <w:sz w:val="24"/>
          <w:szCs w:val="24"/>
          <w:highlight w:val="none"/>
          <w:lang w:val="en-US" w:eastAsia="zh-CN"/>
        </w:rPr>
        <w:t>投标方</w:t>
      </w:r>
      <w:r>
        <w:rPr>
          <w:rFonts w:hint="eastAsia" w:ascii="Times New Roman" w:hAnsi="Times New Roman" w:eastAsia="宋体" w:cs="Times New Roman"/>
          <w:b/>
          <w:bCs/>
          <w:color w:val="auto"/>
          <w:sz w:val="24"/>
          <w:szCs w:val="24"/>
          <w:highlight w:val="none"/>
          <w:lang w:val="en-US" w:eastAsia="zh-CN"/>
        </w:rPr>
        <w:t>负责项目外审会务工作</w:t>
      </w:r>
      <w:r>
        <w:rPr>
          <w:rFonts w:hint="eastAsia" w:eastAsia="宋体" w:cs="Times New Roman"/>
          <w:b/>
          <w:bCs/>
          <w:color w:val="auto"/>
          <w:sz w:val="24"/>
          <w:szCs w:val="24"/>
          <w:highlight w:val="none"/>
          <w:lang w:val="en-US" w:eastAsia="zh-CN"/>
        </w:rPr>
        <w:t>，承担外审会务的所有费用</w:t>
      </w:r>
      <w:r>
        <w:rPr>
          <w:rFonts w:hint="eastAsia" w:eastAsia="宋体"/>
          <w:b/>
          <w:bCs/>
          <w:color w:val="auto"/>
          <w:sz w:val="24"/>
          <w:szCs w:val="24"/>
        </w:rPr>
        <w:t>（包括会务费、审查专家相关费用等），该费用</w:t>
      </w:r>
      <w:r>
        <w:rPr>
          <w:rFonts w:hint="eastAsia" w:eastAsia="宋体" w:cs="Times New Roman"/>
          <w:b/>
          <w:bCs/>
          <w:color w:val="auto"/>
          <w:sz w:val="24"/>
          <w:szCs w:val="24"/>
          <w:highlight w:val="none"/>
          <w:lang w:val="en-US" w:eastAsia="zh-CN"/>
        </w:rPr>
        <w:t>包含在本</w:t>
      </w:r>
      <w:r>
        <w:rPr>
          <w:rFonts w:hint="eastAsia" w:eastAsia="宋体" w:cs="Times New Roman"/>
          <w:b/>
          <w:bCs/>
          <w:color w:val="auto"/>
          <w:sz w:val="24"/>
          <w:szCs w:val="24"/>
          <w:highlight w:val="none"/>
          <w:lang w:eastAsia="zh-CN"/>
        </w:rPr>
        <w:t>服务</w:t>
      </w:r>
      <w:r>
        <w:rPr>
          <w:rFonts w:hint="default" w:ascii="Times New Roman" w:hAnsi="Times New Roman" w:eastAsia="宋体" w:cs="Times New Roman"/>
          <w:b/>
          <w:bCs/>
          <w:color w:val="auto"/>
          <w:sz w:val="24"/>
          <w:szCs w:val="24"/>
          <w:highlight w:val="none"/>
        </w:rPr>
        <w:t>项目</w:t>
      </w:r>
      <w:r>
        <w:rPr>
          <w:rFonts w:hint="default" w:ascii="Times New Roman" w:hAnsi="Times New Roman" w:eastAsia="宋体" w:cs="Times New Roman"/>
          <w:b/>
          <w:bCs/>
          <w:color w:val="auto"/>
          <w:sz w:val="24"/>
          <w:szCs w:val="24"/>
          <w:highlight w:val="none"/>
          <w:lang w:eastAsia="zh-CN"/>
        </w:rPr>
        <w:t>合同总</w:t>
      </w:r>
      <w:r>
        <w:rPr>
          <w:rFonts w:hint="default" w:ascii="Times New Roman" w:hAnsi="Times New Roman" w:eastAsia="宋体" w:cs="Times New Roman"/>
          <w:b/>
          <w:bCs/>
          <w:color w:val="auto"/>
          <w:sz w:val="24"/>
          <w:szCs w:val="24"/>
          <w:highlight w:val="none"/>
        </w:rPr>
        <w:t>价中</w:t>
      </w:r>
      <w:r>
        <w:rPr>
          <w:rFonts w:hint="eastAsia" w:eastAsia="宋体" w:cs="Times New Roman"/>
          <w:b/>
          <w:bCs/>
          <w:color w:val="auto"/>
          <w:sz w:val="24"/>
          <w:szCs w:val="24"/>
          <w:highlight w:val="none"/>
          <w:lang w:eastAsia="zh-CN"/>
        </w:rPr>
        <w:t>（招标方负责委托有资质的第三方单位开展项目的外审工作）</w:t>
      </w:r>
      <w:r>
        <w:rPr>
          <w:rFonts w:hint="default" w:ascii="Times New Roman" w:hAnsi="Times New Roman" w:eastAsia="宋体" w:cs="Times New Roman"/>
          <w:b/>
          <w:bCs/>
          <w:color w:val="auto"/>
          <w:sz w:val="24"/>
          <w:szCs w:val="24"/>
          <w:highlight w:val="none"/>
          <w:lang w:val="en-US"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本技术</w:t>
      </w:r>
      <w:r>
        <w:rPr>
          <w:rFonts w:hint="default" w:ascii="Times New Roman" w:hAnsi="Times New Roman" w:eastAsia="宋体" w:cs="Times New Roman"/>
          <w:color w:val="auto"/>
          <w:sz w:val="24"/>
          <w:szCs w:val="24"/>
          <w:highlight w:val="none"/>
          <w:lang w:eastAsia="zh-CN"/>
        </w:rPr>
        <w:t>规范书</w:t>
      </w:r>
      <w:r>
        <w:rPr>
          <w:rFonts w:hint="default" w:ascii="Times New Roman" w:hAnsi="Times New Roman" w:eastAsia="宋体" w:cs="Times New Roman"/>
          <w:color w:val="auto"/>
          <w:sz w:val="24"/>
          <w:szCs w:val="24"/>
          <w:highlight w:val="none"/>
        </w:rPr>
        <w:t>提出的是最低限度的要求，并未对一切细节作出规定，也并未规定所有的技术要求和适用的标准，</w:t>
      </w:r>
      <w:r>
        <w:rPr>
          <w:rFonts w:hint="default" w:ascii="Times New Roman" w:hAnsi="Times New Roman" w:eastAsia="宋体" w:cs="Times New Roman"/>
          <w:color w:val="auto"/>
          <w:sz w:val="24"/>
          <w:szCs w:val="24"/>
          <w:highlight w:val="none"/>
          <w:lang w:eastAsia="zh-CN"/>
        </w:rPr>
        <w:t>投标方</w:t>
      </w:r>
      <w:r>
        <w:rPr>
          <w:rFonts w:hint="default" w:ascii="Times New Roman" w:hAnsi="Times New Roman" w:eastAsia="宋体" w:cs="Times New Roman"/>
          <w:color w:val="auto"/>
          <w:sz w:val="24"/>
          <w:szCs w:val="24"/>
          <w:highlight w:val="none"/>
        </w:rPr>
        <w:t>应保证按照本技术</w:t>
      </w:r>
      <w:r>
        <w:rPr>
          <w:rFonts w:hint="default" w:ascii="Times New Roman" w:hAnsi="Times New Roman" w:eastAsia="宋体" w:cs="Times New Roman"/>
          <w:color w:val="auto"/>
          <w:sz w:val="24"/>
          <w:szCs w:val="24"/>
          <w:highlight w:val="none"/>
          <w:lang w:eastAsia="zh-CN"/>
        </w:rPr>
        <w:t>规范书</w:t>
      </w:r>
      <w:r>
        <w:rPr>
          <w:rFonts w:hint="default" w:ascii="Times New Roman" w:hAnsi="Times New Roman" w:eastAsia="宋体" w:cs="Times New Roman"/>
          <w:color w:val="auto"/>
          <w:sz w:val="24"/>
          <w:szCs w:val="24"/>
          <w:highlight w:val="none"/>
        </w:rPr>
        <w:t>和相关规范的要求进行服务。对国家</w:t>
      </w:r>
      <w:r>
        <w:rPr>
          <w:rFonts w:hint="default" w:ascii="Times New Roman" w:hAnsi="Times New Roman" w:eastAsia="宋体" w:cs="Times New Roman"/>
          <w:color w:val="auto"/>
          <w:sz w:val="24"/>
          <w:szCs w:val="24"/>
          <w:highlight w:val="none"/>
          <w:lang w:eastAsia="zh-CN"/>
        </w:rPr>
        <w:t>、地方及行业</w:t>
      </w:r>
      <w:r>
        <w:rPr>
          <w:rFonts w:hint="default" w:ascii="Times New Roman" w:hAnsi="Times New Roman" w:eastAsia="宋体" w:cs="Times New Roman"/>
          <w:color w:val="auto"/>
          <w:sz w:val="24"/>
          <w:szCs w:val="24"/>
          <w:highlight w:val="none"/>
        </w:rPr>
        <w:t>有关强制性标准，必须满足其要求</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如果本技术规范前后出现有不一致的描述，投标方应在投标前提出澄清，未提出澄清的则以招标方的解释为准。 </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w:t>
      </w:r>
      <w:r>
        <w:rPr>
          <w:rFonts w:hint="default" w:ascii="Times New Roman" w:hAnsi="Times New Roman" w:eastAsia="宋体" w:cs="Times New Roman"/>
          <w:color w:val="auto"/>
          <w:sz w:val="24"/>
          <w:szCs w:val="24"/>
          <w:highlight w:val="none"/>
          <w:lang w:eastAsia="zh-CN"/>
        </w:rPr>
        <w:t>技术规范书</w:t>
      </w:r>
      <w:r>
        <w:rPr>
          <w:rFonts w:hint="default" w:ascii="Times New Roman" w:hAnsi="Times New Roman" w:eastAsia="宋体" w:cs="Times New Roman"/>
          <w:color w:val="auto"/>
          <w:sz w:val="24"/>
          <w:szCs w:val="24"/>
          <w:highlight w:val="none"/>
        </w:rPr>
        <w:t>使用的标准，如遇与</w:t>
      </w:r>
      <w:r>
        <w:rPr>
          <w:rFonts w:hint="default" w:ascii="Times New Roman" w:hAnsi="Times New Roman" w:eastAsia="宋体" w:cs="Times New Roman"/>
          <w:color w:val="auto"/>
          <w:sz w:val="24"/>
          <w:szCs w:val="24"/>
          <w:highlight w:val="none"/>
          <w:lang w:eastAsia="zh-CN"/>
        </w:rPr>
        <w:t>投标方</w:t>
      </w:r>
      <w:r>
        <w:rPr>
          <w:rFonts w:hint="default" w:ascii="Times New Roman" w:hAnsi="Times New Roman" w:eastAsia="宋体" w:cs="Times New Roman"/>
          <w:color w:val="auto"/>
          <w:sz w:val="24"/>
          <w:szCs w:val="24"/>
          <w:highlight w:val="none"/>
        </w:rPr>
        <w:t>所执行的标准不一致时，按较高的标准执行。在合同生效后，</w:t>
      </w:r>
      <w:r>
        <w:rPr>
          <w:rFonts w:hint="default" w:ascii="Times New Roman" w:hAnsi="Times New Roman" w:eastAsia="宋体" w:cs="Times New Roman"/>
          <w:color w:val="auto"/>
          <w:sz w:val="24"/>
          <w:szCs w:val="24"/>
          <w:highlight w:val="none"/>
          <w:lang w:eastAsia="zh-CN"/>
        </w:rPr>
        <w:t>招标方</w:t>
      </w:r>
      <w:r>
        <w:rPr>
          <w:rFonts w:hint="default" w:ascii="Times New Roman" w:hAnsi="Times New Roman" w:eastAsia="宋体" w:cs="Times New Roman"/>
          <w:color w:val="auto"/>
          <w:sz w:val="24"/>
          <w:szCs w:val="24"/>
          <w:highlight w:val="none"/>
        </w:rPr>
        <w:t>有权提出因规范标准发生变化而产生的一些补充修改要求，</w:t>
      </w:r>
      <w:r>
        <w:rPr>
          <w:rFonts w:hint="default" w:ascii="Times New Roman" w:hAnsi="Times New Roman" w:eastAsia="宋体" w:cs="Times New Roman"/>
          <w:color w:val="auto"/>
          <w:sz w:val="24"/>
          <w:szCs w:val="24"/>
          <w:highlight w:val="none"/>
          <w:lang w:eastAsia="zh-CN"/>
        </w:rPr>
        <w:t>投标方</w:t>
      </w:r>
      <w:r>
        <w:rPr>
          <w:rFonts w:hint="default" w:ascii="Times New Roman" w:hAnsi="Times New Roman" w:eastAsia="宋体" w:cs="Times New Roman"/>
          <w:color w:val="auto"/>
          <w:sz w:val="24"/>
          <w:szCs w:val="24"/>
          <w:highlight w:val="none"/>
        </w:rPr>
        <w:t xml:space="preserve">应遵守这个要求。 </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本技术规范书可能存在未能全面反映现场实际状况的微小偏差，投标方应根据规范要求、行业标准，结合自身经验和收集的相关信息综合考虑项目工作内容。投标方不得拒绝完成本项目任务</w:t>
      </w:r>
      <w:r>
        <w:rPr>
          <w:rFonts w:hint="eastAsia" w:eastAsia="宋体" w:cs="Times New Roman"/>
          <w:color w:val="auto"/>
          <w:sz w:val="24"/>
          <w:szCs w:val="24"/>
          <w:highlight w:val="none"/>
          <w:lang w:val="en-US" w:eastAsia="zh-CN"/>
        </w:rPr>
        <w:t>所必需的工作</w:t>
      </w:r>
      <w:r>
        <w:rPr>
          <w:rFonts w:hint="default" w:ascii="Times New Roman" w:hAnsi="Times New Roman" w:eastAsia="宋体" w:cs="Times New Roman"/>
          <w:color w:val="auto"/>
          <w:sz w:val="24"/>
          <w:szCs w:val="24"/>
          <w:highlight w:val="none"/>
          <w:lang w:val="en-US" w:eastAsia="zh-CN"/>
        </w:rPr>
        <w:t>，相关费用包含在</w:t>
      </w:r>
      <w:r>
        <w:rPr>
          <w:rFonts w:hint="eastAsia" w:eastAsia="宋体" w:cs="Times New Roman"/>
          <w:color w:val="auto"/>
          <w:sz w:val="24"/>
          <w:szCs w:val="24"/>
          <w:highlight w:val="none"/>
          <w:lang w:val="en-US" w:eastAsia="zh-CN"/>
        </w:rPr>
        <w:t>本</w:t>
      </w:r>
      <w:r>
        <w:rPr>
          <w:rFonts w:hint="eastAsia" w:eastAsia="宋体" w:cs="Times New Roman"/>
          <w:b w:val="0"/>
          <w:bCs w:val="0"/>
          <w:color w:val="auto"/>
          <w:sz w:val="24"/>
          <w:szCs w:val="24"/>
          <w:highlight w:val="none"/>
          <w:lang w:eastAsia="zh-CN"/>
        </w:rPr>
        <w:t>服务</w:t>
      </w:r>
      <w:r>
        <w:rPr>
          <w:rFonts w:hint="default" w:ascii="Times New Roman" w:hAnsi="Times New Roman" w:eastAsia="宋体" w:cs="Times New Roman"/>
          <w:b w:val="0"/>
          <w:bCs w:val="0"/>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合同总价中。</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本项目</w:t>
      </w:r>
      <w:r>
        <w:rPr>
          <w:rFonts w:hint="eastAsia" w:eastAsia="宋体" w:cs="Times New Roman"/>
          <w:color w:val="auto"/>
          <w:sz w:val="24"/>
          <w:szCs w:val="24"/>
          <w:highlight w:val="none"/>
          <w:lang w:eastAsia="zh-CN"/>
        </w:rPr>
        <w:t>涉及的</w:t>
      </w:r>
      <w:r>
        <w:rPr>
          <w:rFonts w:hint="default" w:ascii="Times New Roman" w:hAnsi="Times New Roman" w:eastAsia="宋体" w:cs="Times New Roman"/>
          <w:color w:val="auto"/>
          <w:sz w:val="24"/>
          <w:szCs w:val="24"/>
          <w:highlight w:val="none"/>
          <w:lang w:eastAsia="zh-CN"/>
        </w:rPr>
        <w:t>知识产权</w:t>
      </w:r>
      <w:r>
        <w:rPr>
          <w:rFonts w:hint="default" w:ascii="Times New Roman" w:hAnsi="Times New Roman" w:eastAsia="宋体" w:cs="Times New Roman"/>
          <w:color w:val="auto"/>
          <w:sz w:val="24"/>
          <w:szCs w:val="24"/>
          <w:highlight w:val="none"/>
        </w:rPr>
        <w:t>费用均已包含在</w:t>
      </w:r>
      <w:r>
        <w:rPr>
          <w:rFonts w:hint="eastAsia" w:eastAsia="宋体" w:cs="Times New Roman"/>
          <w:color w:val="auto"/>
          <w:sz w:val="24"/>
          <w:szCs w:val="24"/>
          <w:highlight w:val="none"/>
          <w:lang w:eastAsia="zh-CN"/>
        </w:rPr>
        <w:t>本</w:t>
      </w:r>
      <w:r>
        <w:rPr>
          <w:rFonts w:hint="eastAsia" w:eastAsia="宋体" w:cs="Times New Roman"/>
          <w:b w:val="0"/>
          <w:bCs w:val="0"/>
          <w:color w:val="auto"/>
          <w:sz w:val="24"/>
          <w:szCs w:val="24"/>
          <w:highlight w:val="none"/>
          <w:lang w:eastAsia="zh-CN"/>
        </w:rPr>
        <w:t>服务</w:t>
      </w:r>
      <w:r>
        <w:rPr>
          <w:rFonts w:hint="default" w:ascii="Times New Roman" w:hAnsi="Times New Roman" w:eastAsia="宋体" w:cs="Times New Roman"/>
          <w:b w:val="0"/>
          <w:bCs w:val="0"/>
          <w:color w:val="auto"/>
          <w:sz w:val="24"/>
          <w:szCs w:val="24"/>
          <w:highlight w:val="none"/>
        </w:rPr>
        <w:t>项目</w:t>
      </w:r>
      <w:r>
        <w:rPr>
          <w:rFonts w:hint="default" w:ascii="Times New Roman" w:hAnsi="Times New Roman" w:eastAsia="宋体" w:cs="Times New Roman"/>
          <w:color w:val="auto"/>
          <w:sz w:val="24"/>
          <w:szCs w:val="24"/>
          <w:highlight w:val="none"/>
          <w:lang w:eastAsia="zh-CN"/>
        </w:rPr>
        <w:t>合同总</w:t>
      </w:r>
      <w:r>
        <w:rPr>
          <w:rFonts w:hint="default" w:ascii="Times New Roman" w:hAnsi="Times New Roman" w:eastAsia="宋体" w:cs="Times New Roman"/>
          <w:color w:val="auto"/>
          <w:sz w:val="24"/>
          <w:szCs w:val="24"/>
          <w:highlight w:val="none"/>
        </w:rPr>
        <w:t>价中</w:t>
      </w:r>
      <w:r>
        <w:rPr>
          <w:rFonts w:hint="default" w:ascii="Times New Roman" w:hAnsi="Times New Roman" w:eastAsia="宋体" w:cs="Times New Roman"/>
          <w:color w:val="auto"/>
          <w:sz w:val="24"/>
          <w:szCs w:val="24"/>
          <w:highlight w:val="none"/>
          <w:lang w:val="en-US" w:eastAsia="zh-CN"/>
        </w:rPr>
        <w:t>，因知识产权产生的纠纷由投标方自行承担或解决，招标方不承担相应责任。</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投标方</w:t>
      </w:r>
      <w:r>
        <w:rPr>
          <w:rFonts w:hint="default" w:ascii="Times New Roman" w:hAnsi="Times New Roman" w:eastAsia="宋体" w:cs="Times New Roman"/>
          <w:color w:val="auto"/>
          <w:sz w:val="24"/>
          <w:szCs w:val="24"/>
          <w:highlight w:val="none"/>
        </w:rPr>
        <w:t>可在报价文件中引用</w:t>
      </w:r>
      <w:r>
        <w:rPr>
          <w:rFonts w:hint="default" w:ascii="Times New Roman" w:hAnsi="Times New Roman" w:eastAsia="宋体" w:cs="Times New Roman"/>
          <w:color w:val="auto"/>
          <w:sz w:val="24"/>
          <w:szCs w:val="24"/>
          <w:highlight w:val="none"/>
          <w:lang w:eastAsia="zh-CN"/>
        </w:rPr>
        <w:t>本技术规范书</w:t>
      </w:r>
      <w:r>
        <w:rPr>
          <w:rFonts w:hint="default" w:ascii="Times New Roman" w:hAnsi="Times New Roman" w:eastAsia="宋体" w:cs="Times New Roman"/>
          <w:color w:val="auto"/>
          <w:sz w:val="24"/>
          <w:szCs w:val="24"/>
          <w:highlight w:val="none"/>
        </w:rPr>
        <w:t>的相关标准或要求，但不得原封不动地复印或拷贝</w:t>
      </w:r>
      <w:r>
        <w:rPr>
          <w:rFonts w:hint="default" w:ascii="Times New Roman" w:hAnsi="Times New Roman" w:eastAsia="宋体" w:cs="Times New Roman"/>
          <w:color w:val="auto"/>
          <w:sz w:val="24"/>
          <w:szCs w:val="24"/>
          <w:highlight w:val="none"/>
          <w:lang w:eastAsia="zh-CN"/>
        </w:rPr>
        <w:t>本技术规范书</w:t>
      </w:r>
      <w:r>
        <w:rPr>
          <w:rFonts w:hint="default" w:ascii="Times New Roman" w:hAnsi="Times New Roman" w:eastAsia="宋体" w:cs="Times New Roman"/>
          <w:color w:val="auto"/>
          <w:sz w:val="24"/>
          <w:szCs w:val="24"/>
          <w:highlight w:val="none"/>
        </w:rPr>
        <w:t>作为其报价文件的主要内容，否则其报价文件将被作为无效报价。</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除</w:t>
      </w:r>
      <w:r>
        <w:rPr>
          <w:rFonts w:hint="default" w:ascii="Times New Roman" w:hAnsi="Times New Roman" w:eastAsia="宋体" w:cs="Times New Roman"/>
          <w:b/>
          <w:bCs/>
          <w:color w:val="auto"/>
          <w:sz w:val="24"/>
          <w:szCs w:val="24"/>
          <w:highlight w:val="none"/>
          <w:lang w:eastAsia="zh-CN"/>
        </w:rPr>
        <w:t>本技术规范书</w:t>
      </w:r>
      <w:r>
        <w:rPr>
          <w:rFonts w:hint="default" w:ascii="Times New Roman" w:hAnsi="Times New Roman" w:eastAsia="宋体" w:cs="Times New Roman"/>
          <w:b/>
          <w:bCs/>
          <w:color w:val="auto"/>
          <w:sz w:val="24"/>
          <w:szCs w:val="24"/>
          <w:highlight w:val="none"/>
        </w:rPr>
        <w:t>另有规定外，列入</w:t>
      </w:r>
      <w:r>
        <w:rPr>
          <w:rFonts w:hint="default" w:ascii="Times New Roman" w:hAnsi="Times New Roman" w:eastAsia="宋体" w:cs="Times New Roman"/>
          <w:b/>
          <w:bCs/>
          <w:color w:val="auto"/>
          <w:sz w:val="24"/>
          <w:szCs w:val="24"/>
          <w:highlight w:val="none"/>
          <w:lang w:eastAsia="zh-CN"/>
        </w:rPr>
        <w:t>本技术规范书</w:t>
      </w:r>
      <w:r>
        <w:rPr>
          <w:rFonts w:hint="default" w:ascii="Times New Roman" w:hAnsi="Times New Roman" w:eastAsia="宋体" w:cs="Times New Roman"/>
          <w:b/>
          <w:bCs/>
          <w:color w:val="auto"/>
          <w:sz w:val="24"/>
          <w:szCs w:val="24"/>
          <w:highlight w:val="none"/>
        </w:rPr>
        <w:t>的所有工作内容均应包含在本</w:t>
      </w:r>
      <w:r>
        <w:rPr>
          <w:rFonts w:hint="eastAsia" w:eastAsia="宋体" w:cs="Times New Roman"/>
          <w:b/>
          <w:bCs/>
          <w:color w:val="auto"/>
          <w:sz w:val="24"/>
          <w:szCs w:val="24"/>
          <w:highlight w:val="none"/>
          <w:lang w:eastAsia="zh-CN"/>
        </w:rPr>
        <w:t>服务</w:t>
      </w:r>
      <w:r>
        <w:rPr>
          <w:rFonts w:hint="default" w:ascii="Times New Roman" w:hAnsi="Times New Roman" w:eastAsia="宋体" w:cs="Times New Roman"/>
          <w:b/>
          <w:bCs/>
          <w:color w:val="auto"/>
          <w:sz w:val="24"/>
          <w:szCs w:val="24"/>
          <w:highlight w:val="none"/>
        </w:rPr>
        <w:t>项目</w:t>
      </w:r>
      <w:r>
        <w:rPr>
          <w:rFonts w:hint="default" w:ascii="Times New Roman" w:hAnsi="Times New Roman" w:eastAsia="宋体" w:cs="Times New Roman"/>
          <w:b/>
          <w:bCs/>
          <w:color w:val="auto"/>
          <w:sz w:val="24"/>
          <w:szCs w:val="24"/>
          <w:highlight w:val="none"/>
          <w:lang w:eastAsia="zh-CN"/>
        </w:rPr>
        <w:t>合同总</w:t>
      </w:r>
      <w:r>
        <w:rPr>
          <w:rFonts w:hint="default" w:ascii="Times New Roman" w:hAnsi="Times New Roman" w:eastAsia="宋体" w:cs="Times New Roman"/>
          <w:b/>
          <w:bCs/>
          <w:color w:val="auto"/>
          <w:sz w:val="24"/>
          <w:szCs w:val="24"/>
          <w:highlight w:val="none"/>
        </w:rPr>
        <w:t>价中。</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rPr>
      </w:pPr>
      <w:r>
        <w:rPr>
          <w:rFonts w:hint="eastAsia" w:eastAsia="宋体" w:cs="Times New Roman"/>
          <w:color w:val="auto"/>
          <w:sz w:val="24"/>
          <w:szCs w:val="24"/>
          <w:highlight w:val="none"/>
          <w:lang w:eastAsia="zh-CN"/>
        </w:rPr>
        <w:t>中标方与招标方根据本技术规范书签订技术协议</w:t>
      </w:r>
      <w:r>
        <w:rPr>
          <w:rFonts w:hint="default" w:ascii="Times New Roman" w:hAnsi="Times New Roman" w:eastAsia="宋体" w:cs="Times New Roman"/>
          <w:color w:val="auto"/>
          <w:sz w:val="24"/>
          <w:szCs w:val="24"/>
          <w:highlight w:val="none"/>
        </w:rPr>
        <w:t>，</w:t>
      </w:r>
      <w:r>
        <w:rPr>
          <w:rFonts w:hint="eastAsia" w:eastAsia="宋体" w:cs="Times New Roman"/>
          <w:color w:val="auto"/>
          <w:sz w:val="24"/>
          <w:szCs w:val="24"/>
          <w:highlight w:val="none"/>
          <w:lang w:eastAsia="zh-CN"/>
        </w:rPr>
        <w:t>技术协议</w:t>
      </w:r>
      <w:r>
        <w:rPr>
          <w:rFonts w:hint="default" w:ascii="Times New Roman" w:hAnsi="Times New Roman" w:eastAsia="宋体" w:cs="Times New Roman"/>
          <w:color w:val="auto"/>
          <w:sz w:val="24"/>
          <w:szCs w:val="24"/>
          <w:highlight w:val="none"/>
        </w:rPr>
        <w:t>与合同正文具有同等效力。</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投标方如对本招标文件提出偏差，偏差（无论多少）都必须清楚地表示在投标文件的</w:t>
      </w:r>
      <w:r>
        <w:rPr>
          <w:rFonts w:hint="eastAsia"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eastAsia="zh-CN"/>
        </w:rPr>
        <w:t>差异表</w:t>
      </w:r>
      <w:r>
        <w:rPr>
          <w:rFonts w:hint="eastAsia"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eastAsia="zh-CN"/>
        </w:rPr>
        <w:t>中，否则将视为能全面满足本招标文件所提出的各种要求。</w:t>
      </w:r>
      <w:bookmarkStart w:id="11" w:name="_Toc560"/>
      <w:bookmarkStart w:id="12" w:name="_Toc10015_WPSOffice_Level1"/>
      <w:bookmarkStart w:id="13" w:name="_Toc12238"/>
      <w:bookmarkStart w:id="14" w:name="_Toc11390"/>
      <w:bookmarkStart w:id="15" w:name="_Toc7099"/>
      <w:bookmarkStart w:id="16" w:name="_Toc30796"/>
      <w:bookmarkStart w:id="17" w:name="_Toc15141"/>
      <w:bookmarkStart w:id="18" w:name="_Toc31108"/>
      <w:bookmarkStart w:id="19" w:name="_Toc1327_WPSOffice_Level1"/>
      <w:bookmarkStart w:id="20" w:name="_Toc17128"/>
      <w:bookmarkStart w:id="21" w:name="_Toc901"/>
      <w:bookmarkStart w:id="22" w:name="_Toc1021"/>
      <w:bookmarkStart w:id="23" w:name="_Toc15953"/>
      <w:bookmarkStart w:id="24" w:name="_Toc25778_WPSOffice_Level1"/>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color w:val="auto"/>
          <w:sz w:val="24"/>
          <w:szCs w:val="24"/>
          <w:highlight w:val="none"/>
        </w:rPr>
      </w:pPr>
      <w:bookmarkStart w:id="25" w:name="_Toc2108_WPSOffice_Level1"/>
      <w:r>
        <w:rPr>
          <w:rFonts w:hint="default" w:ascii="Times New Roman" w:hAnsi="Times New Roman" w:eastAsia="宋体" w:cs="Times New Roman"/>
          <w:b/>
          <w:color w:val="auto"/>
          <w:sz w:val="24"/>
          <w:szCs w:val="24"/>
          <w:highlight w:val="none"/>
        </w:rPr>
        <w:t>项目概况</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rPr>
      </w:pPr>
      <w:bookmarkStart w:id="26" w:name="_Toc14218"/>
      <w:bookmarkStart w:id="27" w:name="_Toc22907"/>
      <w:bookmarkStart w:id="28" w:name="_Toc17571"/>
      <w:bookmarkStart w:id="29" w:name="_Toc4864"/>
      <w:bookmarkStart w:id="30" w:name="_Toc31021"/>
      <w:bookmarkStart w:id="31" w:name="_Toc3213"/>
      <w:bookmarkStart w:id="32" w:name="_Toc26899"/>
      <w:bookmarkStart w:id="33" w:name="_Toc32053"/>
      <w:bookmarkStart w:id="34" w:name="_Toc26831"/>
      <w:bookmarkStart w:id="35" w:name="_Toc429"/>
      <w:bookmarkStart w:id="36" w:name="_Toc21763"/>
      <w:bookmarkStart w:id="37" w:name="_Toc3292"/>
      <w:bookmarkStart w:id="38" w:name="_Toc21021"/>
      <w:r>
        <w:rPr>
          <w:rFonts w:hint="default" w:ascii="Times New Roman" w:hAnsi="Times New Roman" w:eastAsia="宋体" w:cs="Times New Roman"/>
          <w:b/>
          <w:bCs/>
          <w:color w:val="auto"/>
          <w:sz w:val="24"/>
          <w:szCs w:val="24"/>
          <w:highlight w:val="none"/>
        </w:rPr>
        <w:t>项目简介</w:t>
      </w:r>
      <w:bookmarkEnd w:id="26"/>
      <w:bookmarkEnd w:id="27"/>
      <w:bookmarkEnd w:id="28"/>
      <w:bookmarkEnd w:id="29"/>
      <w:bookmarkEnd w:id="30"/>
      <w:bookmarkEnd w:id="31"/>
      <w:bookmarkEnd w:id="32"/>
      <w:bookmarkEnd w:id="33"/>
      <w:bookmarkEnd w:id="34"/>
      <w:bookmarkEnd w:id="35"/>
      <w:bookmarkEnd w:id="36"/>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eastAsia" w:eastAsia="宋体" w:cs="Times New Roman"/>
          <w:sz w:val="24"/>
          <w:szCs w:val="24"/>
          <w:highlight w:val="none"/>
          <w:lang w:val="en-US" w:eastAsia="zh-CN"/>
        </w:rPr>
        <w:t>川投甘肃能源有限责任公司</w:t>
      </w:r>
      <w:r>
        <w:rPr>
          <w:rFonts w:hint="default" w:ascii="Times New Roman" w:hAnsi="Times New Roman" w:eastAsia="宋体" w:cs="Times New Roman"/>
          <w:sz w:val="24"/>
          <w:szCs w:val="24"/>
          <w:highlight w:val="none"/>
          <w:lang w:val="en-US" w:eastAsia="zh-CN"/>
        </w:rPr>
        <w:t>位于</w:t>
      </w:r>
      <w:r>
        <w:rPr>
          <w:rFonts w:hint="eastAsia" w:eastAsia="宋体" w:cs="Times New Roman"/>
          <w:sz w:val="24"/>
          <w:szCs w:val="24"/>
          <w:highlight w:val="none"/>
          <w:lang w:val="en-US" w:eastAsia="zh-CN"/>
        </w:rPr>
        <w:t>甘肃省兰州市城关区，该公司拟开展可行性研究的的陇电入川配套能源基地</w:t>
      </w:r>
      <w:r>
        <w:rPr>
          <w:rFonts w:hint="default" w:ascii="Times New Roman" w:hAnsi="Times New Roman" w:eastAsia="宋体" w:cs="Times New Roman"/>
          <w:sz w:val="24"/>
          <w:szCs w:val="24"/>
          <w:highlight w:val="none"/>
          <w:lang w:val="en-US" w:eastAsia="zh-CN"/>
        </w:rPr>
        <w:t>2×1000MW燃煤发电项目</w:t>
      </w:r>
      <w:r>
        <w:rPr>
          <w:rFonts w:hint="eastAsia" w:eastAsia="宋体" w:cs="Times New Roman"/>
          <w:sz w:val="24"/>
          <w:szCs w:val="24"/>
          <w:highlight w:val="none"/>
          <w:lang w:val="en-US" w:eastAsia="zh-CN"/>
        </w:rPr>
        <w:t>位于甘肃省酒泉市肃州区明沙窝</w:t>
      </w:r>
      <w:r>
        <w:rPr>
          <w:rFonts w:hint="default" w:ascii="Times New Roman" w:hAnsi="Times New Roman" w:eastAsia="宋体" w:cs="Times New Roman"/>
          <w:sz w:val="24"/>
          <w:szCs w:val="24"/>
          <w:highlight w:val="none"/>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bookmarkStart w:id="39" w:name="_Toc12361"/>
      <w:bookmarkStart w:id="40" w:name="_Toc12722"/>
      <w:bookmarkStart w:id="41" w:name="_Toc12791"/>
      <w:bookmarkStart w:id="42" w:name="_Toc257"/>
      <w:bookmarkStart w:id="43" w:name="_Toc32444"/>
      <w:bookmarkStart w:id="44" w:name="_Toc16542"/>
      <w:bookmarkStart w:id="45" w:name="_Toc7789"/>
      <w:bookmarkStart w:id="46" w:name="_Toc24295"/>
      <w:bookmarkStart w:id="47" w:name="_Toc26351"/>
      <w:bookmarkStart w:id="48" w:name="_Toc8997"/>
      <w:bookmarkStart w:id="49" w:name="_Toc10404"/>
      <w:r>
        <w:rPr>
          <w:rFonts w:hint="default" w:ascii="Times New Roman" w:hAnsi="Times New Roman" w:eastAsia="宋体" w:cs="Times New Roman"/>
          <w:b/>
          <w:bCs/>
          <w:color w:val="auto"/>
          <w:sz w:val="24"/>
          <w:szCs w:val="24"/>
          <w:highlight w:val="none"/>
        </w:rPr>
        <w:t>自然环境条件</w:t>
      </w:r>
      <w:bookmarkEnd w:id="39"/>
      <w:bookmarkEnd w:id="40"/>
      <w:bookmarkEnd w:id="41"/>
      <w:bookmarkEnd w:id="42"/>
      <w:bookmarkEnd w:id="43"/>
      <w:bookmarkEnd w:id="44"/>
      <w:bookmarkEnd w:id="45"/>
      <w:bookmarkEnd w:id="46"/>
      <w:bookmarkEnd w:id="47"/>
      <w:bookmarkEnd w:id="48"/>
      <w:bookmarkEnd w:id="49"/>
      <w:r>
        <w:rPr>
          <w:rFonts w:hint="eastAsia" w:ascii="Times New Roman" w:hAnsi="Times New Roman" w:eastAsia="宋体" w:cs="Times New Roman"/>
          <w:b/>
          <w:bCs/>
          <w:color w:val="auto"/>
          <w:sz w:val="24"/>
          <w:szCs w:val="24"/>
          <w:highlight w:val="none"/>
          <w:lang w:eastAsia="zh-CN"/>
        </w:rPr>
        <w:t>（仅供参考，以投标方收集的资料、数据为准）</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区域气候特点</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多年气象特征值</w:t>
      </w:r>
      <w:r>
        <w:rPr>
          <w:rFonts w:hint="default" w:ascii="Times New Roman" w:hAnsi="Times New Roman" w:eastAsia="宋体" w:cs="Times New Roman"/>
          <w:b w:val="0"/>
          <w:bCs w:val="0"/>
          <w:kern w:val="2"/>
          <w:sz w:val="24"/>
          <w:szCs w:val="24"/>
          <w:highlight w:val="none"/>
          <w:lang w:val="en-US" w:eastAsia="zh-CN" w:bidi="ar-SA"/>
        </w:rPr>
        <w:fldChar w:fldCharType="begin"/>
      </w:r>
      <w:r>
        <w:instrText xml:space="preserve"> INCLUDEPICTURE "C:\\Users\\Administrator\\李旭\\变电工程\\康定舍联500变\\2006_04_04\\章古河段\\STA_0042.JPG" \* MERGEFORMAT </w:instrText>
      </w:r>
      <w:r>
        <w:rPr>
          <w:rFonts w:hint="default" w:ascii="Times New Roman" w:hAnsi="Times New Roman" w:eastAsia="宋体" w:cs="Times New Roman"/>
          <w:b w:val="0"/>
          <w:bCs w:val="0"/>
          <w:kern w:val="2"/>
          <w:sz w:val="24"/>
          <w:szCs w:val="24"/>
          <w:highlight w:val="none"/>
          <w:lang w:val="en-US" w:eastAsia="zh-CN" w:bidi="ar-SA"/>
        </w:rPr>
        <w:fldChar w:fldCharType="separate"/>
      </w:r>
      <w:r>
        <w:rPr>
          <w:rFonts w:hint="default" w:ascii="Times New Roman" w:hAnsi="Times New Roman" w:eastAsia="宋体" w:cs="Times New Roman"/>
          <w:b w:val="0"/>
          <w:bCs w:val="0"/>
          <w:kern w:val="2"/>
          <w:sz w:val="24"/>
          <w:szCs w:val="24"/>
          <w:highlight w:val="none"/>
          <w:lang w:val="en-US" w:eastAsia="zh-CN" w:bidi="ar-SA"/>
        </w:rPr>
        <w:fldChar w:fldCharType="end"/>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bookmarkStart w:id="50" w:name="_Toc27286"/>
      <w:bookmarkStart w:id="51" w:name="_Toc20091"/>
      <w:bookmarkStart w:id="52" w:name="_Toc5258"/>
      <w:bookmarkStart w:id="53" w:name="_Toc8852"/>
      <w:bookmarkStart w:id="54" w:name="_Toc27747"/>
      <w:bookmarkStart w:id="55" w:name="_Toc28019"/>
      <w:bookmarkStart w:id="56" w:name="_Toc12072"/>
      <w:bookmarkStart w:id="57" w:name="_Toc10452"/>
      <w:bookmarkStart w:id="58" w:name="_Toc11531"/>
      <w:bookmarkStart w:id="59" w:name="_Toc28612"/>
      <w:bookmarkStart w:id="60" w:name="_Toc20901"/>
      <w:r>
        <w:rPr>
          <w:rFonts w:hint="default" w:ascii="Times New Roman" w:hAnsi="Times New Roman" w:eastAsia="宋体" w:cs="Times New Roman"/>
          <w:b/>
          <w:bCs/>
          <w:color w:val="auto"/>
          <w:sz w:val="24"/>
          <w:szCs w:val="24"/>
          <w:highlight w:val="none"/>
        </w:rPr>
        <w:t>项目概况</w:t>
      </w:r>
      <w:bookmarkEnd w:id="50"/>
      <w:bookmarkEnd w:id="51"/>
      <w:bookmarkEnd w:id="52"/>
      <w:bookmarkEnd w:id="53"/>
      <w:bookmarkEnd w:id="54"/>
      <w:bookmarkEnd w:id="55"/>
      <w:bookmarkEnd w:id="56"/>
      <w:bookmarkEnd w:id="57"/>
      <w:bookmarkEnd w:id="58"/>
      <w:bookmarkEnd w:id="59"/>
      <w:bookmarkEnd w:id="60"/>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项目名称：</w:t>
      </w:r>
      <w:r>
        <w:rPr>
          <w:rFonts w:hint="eastAsia" w:eastAsia="宋体" w:cs="Times New Roman"/>
          <w:b w:val="0"/>
          <w:bCs w:val="0"/>
          <w:kern w:val="2"/>
          <w:sz w:val="24"/>
          <w:szCs w:val="24"/>
          <w:highlight w:val="none"/>
          <w:lang w:val="en-US" w:eastAsia="zh-CN" w:bidi="ar-SA"/>
        </w:rPr>
        <w:t>陇电入川配套能源基地</w:t>
      </w:r>
      <w:r>
        <w:rPr>
          <w:rFonts w:hint="default" w:ascii="Times New Roman" w:hAnsi="Times New Roman" w:eastAsia="宋体" w:cs="Times New Roman"/>
          <w:b w:val="0"/>
          <w:bCs w:val="0"/>
          <w:kern w:val="2"/>
          <w:sz w:val="24"/>
          <w:szCs w:val="24"/>
          <w:highlight w:val="none"/>
          <w:lang w:val="en-US" w:eastAsia="zh-CN" w:bidi="ar-SA"/>
        </w:rPr>
        <w:t>2×1000MW燃煤发电项目。</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项目承办单位：</w:t>
      </w:r>
      <w:r>
        <w:rPr>
          <w:rFonts w:hint="eastAsia" w:eastAsia="宋体" w:cs="Times New Roman"/>
          <w:b w:val="0"/>
          <w:bCs w:val="0"/>
          <w:kern w:val="2"/>
          <w:sz w:val="24"/>
          <w:szCs w:val="24"/>
          <w:highlight w:val="none"/>
          <w:lang w:val="en-US" w:eastAsia="zh-CN" w:bidi="ar-SA"/>
        </w:rPr>
        <w:t>川投甘肃能源有限责任公司</w:t>
      </w:r>
      <w:r>
        <w:rPr>
          <w:rFonts w:hint="default" w:ascii="Times New Roman" w:hAnsi="Times New Roman" w:eastAsia="宋体" w:cs="Times New Roman"/>
          <w:b w:val="0"/>
          <w:bCs w:val="0"/>
          <w:kern w:val="2"/>
          <w:sz w:val="24"/>
          <w:szCs w:val="24"/>
          <w:highlight w:val="none"/>
          <w:lang w:val="en-US" w:eastAsia="zh-CN" w:bidi="ar-SA"/>
        </w:rPr>
        <w:t>。</w:t>
      </w:r>
    </w:p>
    <w:p>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项目性质：新建工程。</w:t>
      </w:r>
    </w:p>
    <w:p>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建设地点：</w:t>
      </w:r>
      <w:r>
        <w:rPr>
          <w:rFonts w:hint="eastAsia" w:ascii="Times New Roman" w:hAnsi="Times New Roman" w:eastAsia="宋体" w:cs="Times New Roman"/>
          <w:b w:val="0"/>
          <w:bCs w:val="0"/>
          <w:kern w:val="2"/>
          <w:sz w:val="24"/>
          <w:szCs w:val="24"/>
          <w:highlight w:val="none"/>
          <w:lang w:val="en-US" w:eastAsia="zh-CN" w:bidi="ar-SA"/>
        </w:rPr>
        <w:t>甘肃省酒泉市肃州区明沙窝</w:t>
      </w:r>
      <w:r>
        <w:rPr>
          <w:rFonts w:hint="default" w:ascii="Times New Roman" w:hAnsi="Times New Roman" w:eastAsia="宋体" w:cs="Times New Roman"/>
          <w:b w:val="0"/>
          <w:bCs w:val="0"/>
          <w:kern w:val="2"/>
          <w:sz w:val="24"/>
          <w:szCs w:val="24"/>
          <w:highlight w:val="none"/>
          <w:lang w:val="en-US" w:eastAsia="zh-CN" w:bidi="ar-SA"/>
        </w:rPr>
        <w:t>。</w:t>
      </w:r>
    </w:p>
    <w:p>
      <w:pPr>
        <w:rPr>
          <w:rFonts w:hint="default"/>
          <w:lang w:val="en-US" w:eastAsia="zh-CN"/>
        </w:rPr>
      </w:pPr>
      <w:r>
        <w:rPr>
          <w:rFonts w:hint="eastAsia" w:eastAsia="宋体" w:cs="Times New Roman"/>
          <w:b w:val="0"/>
          <w:bCs w:val="0"/>
          <w:kern w:val="2"/>
          <w:sz w:val="24"/>
          <w:szCs w:val="24"/>
          <w:highlight w:val="none"/>
          <w:lang w:val="en-US" w:eastAsia="zh-CN" w:bidi="ar-SA"/>
        </w:rPr>
        <w:t>建设规模：</w:t>
      </w:r>
      <w:r>
        <w:rPr>
          <w:rFonts w:hint="eastAsia" w:eastAsia="宋体" w:cs="Times New Roman"/>
          <w:sz w:val="24"/>
          <w:szCs w:val="24"/>
          <w:highlight w:val="none"/>
          <w:lang w:val="en-US" w:eastAsia="zh-CN"/>
        </w:rPr>
        <w:t>2</w:t>
      </w:r>
      <w:r>
        <w:rPr>
          <w:rFonts w:hint="default" w:ascii="Arial" w:hAnsi="Arial" w:eastAsia="宋体" w:cs="Arial"/>
          <w:sz w:val="24"/>
          <w:szCs w:val="24"/>
          <w:highlight w:val="none"/>
          <w:lang w:val="en-US" w:eastAsia="zh-CN"/>
        </w:rPr>
        <w:t>×</w:t>
      </w:r>
      <w:r>
        <w:rPr>
          <w:rFonts w:hint="eastAsia" w:eastAsia="宋体" w:cs="Times New Roman"/>
          <w:sz w:val="24"/>
          <w:szCs w:val="24"/>
          <w:highlight w:val="none"/>
          <w:lang w:val="en-US" w:eastAsia="zh-CN"/>
        </w:rPr>
        <w:t>1000MW</w:t>
      </w:r>
      <w:r>
        <w:rPr>
          <w:rFonts w:hint="default" w:ascii="Times New Roman" w:hAnsi="Times New Roman" w:eastAsia="宋体" w:cs="Times New Roman"/>
          <w:sz w:val="24"/>
          <w:szCs w:val="24"/>
          <w:highlight w:val="none"/>
          <w:lang w:val="en-US" w:eastAsia="zh-CN"/>
        </w:rPr>
        <w:t>燃煤</w:t>
      </w:r>
      <w:r>
        <w:rPr>
          <w:rFonts w:hint="eastAsia" w:eastAsia="宋体" w:cs="Times New Roman"/>
          <w:sz w:val="24"/>
          <w:szCs w:val="24"/>
          <w:highlight w:val="none"/>
          <w:lang w:val="en-US" w:eastAsia="zh-CN"/>
        </w:rPr>
        <w:t>发电</w:t>
      </w:r>
      <w:r>
        <w:rPr>
          <w:rFonts w:hint="default" w:ascii="Times New Roman" w:hAnsi="Times New Roman" w:eastAsia="宋体" w:cs="Times New Roman"/>
          <w:sz w:val="24"/>
          <w:szCs w:val="24"/>
          <w:highlight w:val="none"/>
          <w:lang w:val="en-US" w:eastAsia="zh-CN"/>
        </w:rPr>
        <w:t>机组</w:t>
      </w:r>
      <w:r>
        <w:rPr>
          <w:rFonts w:hint="eastAsia" w:eastAsia="宋体" w:cs="Times New Roman"/>
          <w:sz w:val="24"/>
          <w:szCs w:val="24"/>
          <w:highlight w:val="none"/>
          <w:lang w:val="en-US" w:eastAsia="zh-CN"/>
        </w:rPr>
        <w:t>。</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rPr>
      </w:pPr>
      <w:bookmarkStart w:id="61" w:name="_Toc18243"/>
      <w:bookmarkStart w:id="62" w:name="_Toc26299"/>
      <w:bookmarkStart w:id="63" w:name="_Toc11499"/>
      <w:bookmarkStart w:id="64" w:name="_Toc26304"/>
      <w:bookmarkStart w:id="65" w:name="_Toc32115"/>
      <w:bookmarkStart w:id="66" w:name="_Toc8321"/>
      <w:bookmarkStart w:id="67" w:name="_Toc5401"/>
      <w:bookmarkStart w:id="68" w:name="_Toc11100"/>
      <w:bookmarkStart w:id="69" w:name="_Toc31485"/>
      <w:bookmarkStart w:id="70" w:name="_Toc5270"/>
      <w:bookmarkStart w:id="71" w:name="_Toc19409"/>
      <w:r>
        <w:rPr>
          <w:rFonts w:hint="default" w:ascii="Times New Roman" w:hAnsi="Times New Roman" w:eastAsia="宋体" w:cs="Times New Roman"/>
          <w:b/>
          <w:bCs/>
          <w:color w:val="auto"/>
          <w:sz w:val="24"/>
          <w:szCs w:val="24"/>
          <w:highlight w:val="none"/>
        </w:rPr>
        <w:t>研究目的</w:t>
      </w:r>
      <w:bookmarkEnd w:id="61"/>
      <w:bookmarkEnd w:id="62"/>
      <w:bookmarkEnd w:id="63"/>
      <w:bookmarkEnd w:id="64"/>
      <w:bookmarkEnd w:id="65"/>
      <w:bookmarkEnd w:id="66"/>
      <w:bookmarkEnd w:id="67"/>
      <w:bookmarkEnd w:id="68"/>
      <w:bookmarkEnd w:id="69"/>
      <w:bookmarkEnd w:id="70"/>
      <w:bookmarkEnd w:id="71"/>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次可行性研究的目的为：选择最佳投资方案、提高投资效益、避免投资决策的失误；同时，根据招标方的具体情况和实际条件，通过对拟建项目的技术可行性、经济合理性和项目可实施性等方面问题进行科学合理、周密论证，向招标方推荐有针对性的，以适用、实用、先进为原则的方案，以达到如下目标：</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（1）对项目的决策提供可靠的技术依据；</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（2）为项目建设立项批准提供依据；</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（3）为项目建设设计提供技术依据；</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（4）为项目建设采购和初步设计工作提供依据。</w:t>
      </w:r>
      <w:bookmarkStart w:id="72" w:name="_Toc28978"/>
      <w:bookmarkStart w:id="73" w:name="_Toc12255"/>
      <w:bookmarkStart w:id="74" w:name="_Toc2688"/>
      <w:bookmarkStart w:id="75" w:name="_Toc12081"/>
      <w:bookmarkStart w:id="76" w:name="_Toc4274"/>
      <w:bookmarkStart w:id="77" w:name="_Toc24124"/>
      <w:bookmarkStart w:id="78" w:name="_Toc7909"/>
      <w:bookmarkStart w:id="79" w:name="_Toc27226_WPSOffice_Level1"/>
      <w:bookmarkStart w:id="80" w:name="_Toc21001_WPSOffice_Level1"/>
      <w:bookmarkStart w:id="81" w:name="_Toc547"/>
      <w:bookmarkStart w:id="82" w:name="_Toc14726"/>
      <w:bookmarkStart w:id="83" w:name="_Toc27234_WPSOffice_Level1"/>
      <w:bookmarkStart w:id="84" w:name="_Toc18857"/>
      <w:bookmarkStart w:id="85" w:name="_Toc28323"/>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color w:val="auto"/>
          <w:sz w:val="24"/>
          <w:szCs w:val="24"/>
          <w:highlight w:val="none"/>
        </w:rPr>
      </w:pPr>
      <w:bookmarkStart w:id="86" w:name="_Toc6229_WPSOffice_Level1"/>
      <w:r>
        <w:rPr>
          <w:rFonts w:hint="default" w:ascii="Times New Roman" w:hAnsi="Times New Roman" w:eastAsia="宋体" w:cs="Times New Roman"/>
          <w:b/>
          <w:color w:val="auto"/>
          <w:sz w:val="24"/>
          <w:szCs w:val="24"/>
          <w:highlight w:val="none"/>
          <w:lang w:eastAsia="zh-CN"/>
        </w:rPr>
        <w:t>工作</w:t>
      </w:r>
      <w:r>
        <w:rPr>
          <w:rFonts w:hint="default" w:ascii="Times New Roman" w:hAnsi="Times New Roman" w:eastAsia="宋体" w:cs="Times New Roman"/>
          <w:b/>
          <w:color w:val="auto"/>
          <w:sz w:val="24"/>
          <w:szCs w:val="24"/>
          <w:highlight w:val="none"/>
        </w:rPr>
        <w:t>范围</w:t>
      </w:r>
      <w:bookmarkEnd w:id="37"/>
      <w:bookmarkEnd w:id="3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rPr>
      </w:pPr>
      <w:bookmarkStart w:id="87" w:name="_Toc31075"/>
      <w:bookmarkStart w:id="88" w:name="_Toc10775"/>
      <w:bookmarkStart w:id="89" w:name="_Toc14940"/>
      <w:bookmarkStart w:id="90" w:name="_Toc151_WPSOffice_Level2"/>
      <w:bookmarkStart w:id="91" w:name="_Toc27607"/>
      <w:bookmarkStart w:id="92" w:name="_Toc23970"/>
      <w:bookmarkStart w:id="93" w:name="_Toc17999"/>
      <w:bookmarkStart w:id="94" w:name="_Toc78"/>
      <w:bookmarkStart w:id="95" w:name="_Toc10015_WPSOffice_Level2"/>
      <w:bookmarkStart w:id="96" w:name="_Toc20187"/>
      <w:bookmarkStart w:id="97" w:name="_Toc31246"/>
      <w:bookmarkStart w:id="98" w:name="_Toc21201"/>
      <w:bookmarkStart w:id="99" w:name="_Toc28381"/>
      <w:bookmarkStart w:id="100" w:name="_Toc6022"/>
      <w:bookmarkStart w:id="101" w:name="_Toc17953_WPSOffice_Level2"/>
      <w:bookmarkStart w:id="102" w:name="_Toc18245"/>
      <w:r>
        <w:rPr>
          <w:rFonts w:hint="default" w:ascii="Times New Roman" w:hAnsi="Times New Roman" w:eastAsia="宋体" w:cs="Times New Roman"/>
          <w:b/>
          <w:bCs/>
          <w:color w:val="auto"/>
          <w:sz w:val="24"/>
          <w:szCs w:val="24"/>
          <w:highlight w:val="none"/>
        </w:rPr>
        <w:t>服务范围</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Toc5475"/>
      <w:bookmarkStart w:id="104" w:name="_Toc18314"/>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对</w:t>
      </w:r>
      <w:r>
        <w:rPr>
          <w:rFonts w:hint="eastAsia" w:eastAsia="宋体" w:cs="Times New Roman"/>
          <w:b w:val="0"/>
          <w:bCs w:val="0"/>
          <w:kern w:val="2"/>
          <w:sz w:val="24"/>
          <w:szCs w:val="24"/>
          <w:highlight w:val="none"/>
          <w:lang w:val="en-US" w:eastAsia="zh-CN" w:bidi="ar-SA"/>
        </w:rPr>
        <w:t>陇电入川配套能源基地</w:t>
      </w:r>
      <w:r>
        <w:rPr>
          <w:rFonts w:hint="default" w:ascii="Times New Roman" w:hAnsi="Times New Roman" w:eastAsia="宋体" w:cs="Times New Roman"/>
          <w:b w:val="0"/>
          <w:bCs w:val="0"/>
          <w:kern w:val="2"/>
          <w:sz w:val="24"/>
          <w:szCs w:val="24"/>
          <w:highlight w:val="none"/>
          <w:lang w:val="en-US" w:eastAsia="zh-CN" w:bidi="ar-SA"/>
        </w:rPr>
        <w:t>2×1000MW燃煤发电项目进行可行性研究。</w:t>
      </w:r>
      <w:r>
        <w:rPr>
          <w:rFonts w:hint="default" w:ascii="Times New Roman" w:hAnsi="Times New Roman" w:eastAsia="宋体" w:cs="Times New Roman"/>
          <w:b/>
          <w:bCs/>
          <w:kern w:val="2"/>
          <w:sz w:val="24"/>
          <w:szCs w:val="24"/>
          <w:highlight w:val="none"/>
          <w:lang w:val="en-US" w:eastAsia="zh-CN" w:bidi="ar-SA"/>
        </w:rPr>
        <w:t>包括但不限于可行性研究现场</w:t>
      </w:r>
      <w:r>
        <w:rPr>
          <w:rFonts w:hint="eastAsia" w:ascii="Times New Roman" w:hAnsi="Times New Roman" w:eastAsia="宋体" w:cs="Times New Roman"/>
          <w:b/>
          <w:bCs/>
          <w:kern w:val="2"/>
          <w:sz w:val="24"/>
          <w:szCs w:val="24"/>
          <w:highlight w:val="none"/>
          <w:lang w:val="en-US" w:eastAsia="zh-CN" w:bidi="ar-SA"/>
        </w:rPr>
        <w:t>踏勘及</w:t>
      </w:r>
      <w:r>
        <w:rPr>
          <w:rFonts w:hint="default" w:ascii="Times New Roman" w:hAnsi="Times New Roman" w:eastAsia="宋体" w:cs="Times New Roman"/>
          <w:b/>
          <w:bCs/>
          <w:kern w:val="2"/>
          <w:sz w:val="24"/>
          <w:szCs w:val="24"/>
          <w:highlight w:val="none"/>
          <w:lang w:val="en-US" w:eastAsia="zh-CN" w:bidi="ar-SA"/>
        </w:rPr>
        <w:t>收资、可行性研究报告编制</w:t>
      </w:r>
      <w:r>
        <w:rPr>
          <w:rFonts w:hint="eastAsia" w:eastAsia="宋体" w:cs="Times New Roman"/>
          <w:b/>
          <w:bCs/>
          <w:kern w:val="2"/>
          <w:sz w:val="24"/>
          <w:szCs w:val="24"/>
          <w:highlight w:val="none"/>
          <w:lang w:val="en-US" w:eastAsia="zh-CN" w:bidi="ar-SA"/>
        </w:rPr>
        <w:t>，以及项目需要时的可研报告</w:t>
      </w:r>
      <w:r>
        <w:rPr>
          <w:rFonts w:hint="eastAsia" w:ascii="Times New Roman" w:hAnsi="Times New Roman" w:eastAsia="宋体" w:cs="Times New Roman"/>
          <w:b/>
          <w:bCs/>
          <w:color w:val="auto"/>
          <w:sz w:val="24"/>
          <w:szCs w:val="24"/>
          <w:highlight w:val="none"/>
          <w:lang w:val="en-US" w:eastAsia="zh-CN"/>
        </w:rPr>
        <w:t>外审会务工作</w:t>
      </w:r>
      <w:r>
        <w:rPr>
          <w:rFonts w:hint="eastAsia" w:eastAsia="宋体" w:cs="Times New Roman"/>
          <w:b/>
          <w:bCs/>
          <w:color w:val="auto"/>
          <w:sz w:val="24"/>
          <w:szCs w:val="24"/>
          <w:highlight w:val="none"/>
          <w:lang w:val="en-US" w:eastAsia="zh-CN"/>
        </w:rPr>
        <w:t>、核准报告编制工作</w:t>
      </w:r>
      <w:r>
        <w:rPr>
          <w:rFonts w:hint="default" w:ascii="Times New Roman" w:hAnsi="Times New Roman" w:eastAsia="宋体" w:cs="Times New Roman"/>
          <w:b/>
          <w:bCs/>
          <w:kern w:val="2"/>
          <w:sz w:val="24"/>
          <w:szCs w:val="24"/>
          <w:highlight w:val="none"/>
          <w:lang w:val="en-US" w:eastAsia="zh-CN" w:bidi="ar-SA"/>
        </w:rPr>
        <w:t>等</w:t>
      </w:r>
      <w:r>
        <w:rPr>
          <w:rFonts w:hint="default" w:ascii="Times New Roman" w:hAnsi="Times New Roman" w:eastAsia="宋体" w:cs="Times New Roman"/>
          <w:b w:val="0"/>
          <w:bCs w:val="0"/>
          <w:kern w:val="2"/>
          <w:sz w:val="24"/>
          <w:szCs w:val="24"/>
          <w:highlight w:val="none"/>
          <w:lang w:val="en-US" w:eastAsia="zh-CN" w:bidi="ar-SA"/>
        </w:rPr>
        <w:t>，</w:t>
      </w:r>
      <w:r>
        <w:rPr>
          <w:rFonts w:hint="default" w:ascii="Times New Roman" w:hAnsi="Times New Roman" w:eastAsia="宋体" w:cs="Times New Roman"/>
          <w:b/>
          <w:bCs/>
          <w:kern w:val="2"/>
          <w:sz w:val="24"/>
          <w:szCs w:val="24"/>
          <w:highlight w:val="none"/>
          <w:lang w:val="en-US" w:eastAsia="zh-CN" w:bidi="ar-SA"/>
        </w:rPr>
        <w:t>具体见工作内容</w:t>
      </w:r>
      <w:r>
        <w:rPr>
          <w:rFonts w:hint="default" w:ascii="Times New Roman" w:hAnsi="Times New Roman" w:eastAsia="宋体" w:cs="Times New Roman"/>
          <w:b w:val="0"/>
          <w:bCs w:val="0"/>
          <w:kern w:val="2"/>
          <w:sz w:val="24"/>
          <w:szCs w:val="24"/>
          <w:highlight w:val="none"/>
          <w:lang w:val="en-US" w:eastAsia="zh-CN" w:bidi="ar-SA"/>
        </w:rPr>
        <w:t>。</w:t>
      </w:r>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w:t>
      </w:r>
      <w:r>
        <w:rPr>
          <w:rFonts w:hint="eastAsia" w:ascii="Times New Roman" w:hAnsi="Times New Roman" w:eastAsia="宋体" w:cs="Times New Roman"/>
          <w:b w:val="0"/>
          <w:bCs w:val="0"/>
          <w:kern w:val="2"/>
          <w:sz w:val="24"/>
          <w:szCs w:val="24"/>
          <w:highlight w:val="none"/>
          <w:lang w:val="en-US" w:eastAsia="zh-CN" w:bidi="ar-SA"/>
        </w:rPr>
        <w:t>次</w:t>
      </w:r>
      <w:r>
        <w:rPr>
          <w:rFonts w:hint="default" w:ascii="Times New Roman" w:hAnsi="Times New Roman" w:eastAsia="宋体" w:cs="Times New Roman"/>
          <w:b w:val="0"/>
          <w:bCs w:val="0"/>
          <w:kern w:val="2"/>
          <w:sz w:val="24"/>
          <w:szCs w:val="24"/>
          <w:highlight w:val="none"/>
          <w:lang w:val="en-US" w:eastAsia="zh-CN" w:bidi="ar-SA"/>
        </w:rPr>
        <w:t>项目可行性研究内容及深度应符合国家、行业相关规范要求。</w:t>
      </w:r>
    </w:p>
    <w:bookmarkEnd w:id="103"/>
    <w:bookmarkEnd w:id="104"/>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rPr>
      </w:pPr>
      <w:bookmarkStart w:id="105" w:name="_Toc24568"/>
      <w:bookmarkStart w:id="106" w:name="_Toc22328"/>
      <w:bookmarkStart w:id="107" w:name="_Toc13003"/>
      <w:bookmarkStart w:id="108" w:name="_Toc30240"/>
      <w:bookmarkStart w:id="109" w:name="_Toc25601"/>
      <w:bookmarkStart w:id="110" w:name="_Toc28823"/>
      <w:bookmarkStart w:id="111" w:name="_Toc25325"/>
      <w:bookmarkStart w:id="112" w:name="_Toc21359"/>
      <w:bookmarkStart w:id="113" w:name="_Toc25447"/>
      <w:bookmarkStart w:id="114" w:name="_Toc18929"/>
      <w:bookmarkStart w:id="115" w:name="_Toc1373_WPSOffice_Level2"/>
      <w:bookmarkStart w:id="116" w:name="_Toc10087"/>
      <w:bookmarkStart w:id="117" w:name="_Toc15836_WPSOffice_Level2"/>
      <w:bookmarkStart w:id="118" w:name="_Toc119_WPSOffice_Level2"/>
      <w:r>
        <w:rPr>
          <w:rFonts w:hint="default" w:ascii="Times New Roman" w:hAnsi="Times New Roman" w:eastAsia="宋体" w:cs="Times New Roman"/>
          <w:b/>
          <w:bCs/>
          <w:color w:val="auto"/>
          <w:sz w:val="24"/>
          <w:szCs w:val="24"/>
          <w:highlight w:val="none"/>
        </w:rPr>
        <w:t>服务期限</w:t>
      </w:r>
      <w:bookmarkEnd w:id="105"/>
      <w:bookmarkEnd w:id="106"/>
      <w:bookmarkEnd w:id="107"/>
      <w:bookmarkEnd w:id="108"/>
      <w:bookmarkEnd w:id="109"/>
      <w:bookmarkEnd w:id="110"/>
      <w:bookmarkEnd w:id="111"/>
      <w:bookmarkEnd w:id="112"/>
      <w:bookmarkEnd w:id="113"/>
      <w:bookmarkEnd w:id="114"/>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合同签订后60日内完成可行性研究报告初稿编制（并组织完成内部评审）</w:t>
      </w:r>
      <w:r>
        <w:rPr>
          <w:rFonts w:hint="eastAsia" w:eastAsia="宋体" w:cs="Times New Roman"/>
          <w:b w:val="0"/>
          <w:bCs w:val="0"/>
          <w:kern w:val="2"/>
          <w:sz w:val="24"/>
          <w:szCs w:val="24"/>
          <w:highlight w:val="none"/>
          <w:lang w:val="en-US" w:eastAsia="zh-CN" w:bidi="ar-SA"/>
        </w:rPr>
        <w:t>；</w:t>
      </w:r>
      <w:r>
        <w:rPr>
          <w:rFonts w:hint="default" w:ascii="Times New Roman" w:hAnsi="Times New Roman" w:eastAsia="宋体" w:cs="Times New Roman"/>
          <w:b w:val="0"/>
          <w:bCs w:val="0"/>
          <w:kern w:val="2"/>
          <w:sz w:val="24"/>
          <w:szCs w:val="24"/>
          <w:highlight w:val="none"/>
          <w:lang w:val="en-US" w:eastAsia="zh-CN" w:bidi="ar-SA"/>
        </w:rPr>
        <w:t>合同签订后</w:t>
      </w:r>
      <w:r>
        <w:rPr>
          <w:rFonts w:hint="eastAsia" w:eastAsia="宋体" w:cs="Times New Roman"/>
          <w:b w:val="0"/>
          <w:bCs w:val="0"/>
          <w:kern w:val="2"/>
          <w:sz w:val="24"/>
          <w:szCs w:val="24"/>
          <w:highlight w:val="none"/>
          <w:lang w:val="en-US" w:eastAsia="zh-CN" w:bidi="ar-SA"/>
        </w:rPr>
        <w:t>90</w:t>
      </w:r>
      <w:r>
        <w:rPr>
          <w:rFonts w:hint="default" w:ascii="Times New Roman" w:hAnsi="Times New Roman" w:eastAsia="宋体" w:cs="Times New Roman"/>
          <w:b w:val="0"/>
          <w:bCs w:val="0"/>
          <w:kern w:val="2"/>
          <w:sz w:val="24"/>
          <w:szCs w:val="24"/>
          <w:highlight w:val="none"/>
          <w:lang w:val="en-US" w:eastAsia="zh-CN" w:bidi="ar-SA"/>
        </w:rPr>
        <w:t>日内完成送审稿编制</w:t>
      </w:r>
      <w:r>
        <w:rPr>
          <w:rFonts w:hint="eastAsia" w:eastAsia="宋体" w:cs="Times New Roman"/>
          <w:b w:val="0"/>
          <w:bCs w:val="0"/>
          <w:kern w:val="2"/>
          <w:sz w:val="24"/>
          <w:szCs w:val="24"/>
          <w:highlight w:val="none"/>
          <w:lang w:val="en-US" w:eastAsia="zh-CN" w:bidi="ar-SA"/>
        </w:rPr>
        <w:t>；</w:t>
      </w:r>
      <w:r>
        <w:rPr>
          <w:rFonts w:hint="eastAsia" w:ascii="Times New Roman" w:hAnsi="Times New Roman" w:eastAsia="宋体" w:cs="Times New Roman"/>
          <w:b w:val="0"/>
          <w:bCs w:val="0"/>
          <w:kern w:val="2"/>
          <w:sz w:val="24"/>
          <w:szCs w:val="24"/>
          <w:highlight w:val="none"/>
          <w:lang w:val="en-US" w:eastAsia="zh-CN" w:bidi="ar-SA"/>
        </w:rPr>
        <w:t>按</w:t>
      </w:r>
      <w:r>
        <w:rPr>
          <w:rFonts w:hint="eastAsia" w:eastAsia="宋体" w:cs="Times New Roman"/>
          <w:b w:val="0"/>
          <w:bCs w:val="0"/>
          <w:kern w:val="2"/>
          <w:sz w:val="24"/>
          <w:szCs w:val="24"/>
          <w:highlight w:val="none"/>
          <w:lang w:val="en-US" w:eastAsia="zh-CN" w:bidi="ar-SA"/>
        </w:rPr>
        <w:t>项目</w:t>
      </w:r>
      <w:r>
        <w:rPr>
          <w:rFonts w:hint="eastAsia" w:ascii="Times New Roman" w:hAnsi="Times New Roman" w:eastAsia="宋体" w:cs="Times New Roman"/>
          <w:b w:val="0"/>
          <w:bCs w:val="0"/>
          <w:kern w:val="2"/>
          <w:sz w:val="24"/>
          <w:szCs w:val="24"/>
          <w:highlight w:val="none"/>
          <w:lang w:val="en-US" w:eastAsia="zh-CN" w:bidi="ar-SA"/>
        </w:rPr>
        <w:t>进展情况，配合完成外部审查及可行性研究终版报告出版，做好可行性研究收口</w:t>
      </w:r>
      <w:r>
        <w:rPr>
          <w:rFonts w:hint="eastAsia" w:eastAsia="宋体" w:cs="Times New Roman"/>
          <w:b w:val="0"/>
          <w:bCs w:val="0"/>
          <w:kern w:val="2"/>
          <w:sz w:val="24"/>
          <w:szCs w:val="24"/>
          <w:highlight w:val="none"/>
          <w:lang w:val="en-US" w:eastAsia="zh-CN" w:bidi="ar-SA"/>
        </w:rPr>
        <w:t>、核准报告编制等</w:t>
      </w:r>
      <w:r>
        <w:rPr>
          <w:rFonts w:hint="eastAsia" w:ascii="Times New Roman" w:hAnsi="Times New Roman" w:eastAsia="宋体" w:cs="Times New Roman"/>
          <w:b w:val="0"/>
          <w:bCs w:val="0"/>
          <w:kern w:val="2"/>
          <w:sz w:val="24"/>
          <w:szCs w:val="24"/>
          <w:highlight w:val="none"/>
          <w:lang w:val="en-US" w:eastAsia="zh-CN" w:bidi="ar-SA"/>
        </w:rPr>
        <w:t>其他相关配合工作</w:t>
      </w:r>
      <w:r>
        <w:rPr>
          <w:rFonts w:hint="eastAsia" w:eastAsia="宋体" w:cs="Times New Roman"/>
          <w:b w:val="0"/>
          <w:bCs w:val="0"/>
          <w:kern w:val="2"/>
          <w:sz w:val="24"/>
          <w:szCs w:val="24"/>
          <w:highlight w:val="none"/>
          <w:lang w:val="en-US" w:eastAsia="zh-CN" w:bidi="ar-SA"/>
        </w:rPr>
        <w:t>，直至项目获得核准审批（但因非乙方原因无法达到核准审批条件的除外）</w:t>
      </w:r>
      <w:r>
        <w:rPr>
          <w:rFonts w:hint="eastAsia" w:ascii="Times New Roman" w:hAnsi="Times New Roman" w:eastAsia="宋体" w:cs="Times New Roman"/>
          <w:b w:val="0"/>
          <w:bCs w:val="0"/>
          <w:kern w:val="2"/>
          <w:sz w:val="24"/>
          <w:szCs w:val="24"/>
          <w:highlight w:val="none"/>
          <w:lang w:val="en-US" w:eastAsia="zh-CN" w:bidi="ar-SA"/>
        </w:rPr>
        <w:t>。</w:t>
      </w:r>
    </w:p>
    <w:bookmarkEnd w:id="115"/>
    <w:bookmarkEnd w:id="116"/>
    <w:bookmarkEnd w:id="117"/>
    <w:bookmarkEnd w:id="118"/>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eastAsia="zh-CN"/>
        </w:rPr>
      </w:pPr>
      <w:bookmarkStart w:id="119" w:name="_Toc3654_WPSOffice_Level2"/>
      <w:bookmarkStart w:id="120" w:name="_Toc3174_WPSOffice_Level2"/>
      <w:bookmarkStart w:id="121" w:name="_Toc5155"/>
      <w:bookmarkStart w:id="122" w:name="_Toc2920"/>
      <w:bookmarkStart w:id="123" w:name="_Toc1787"/>
      <w:bookmarkStart w:id="124" w:name="_Toc16694"/>
      <w:bookmarkStart w:id="125" w:name="_Toc14149"/>
      <w:bookmarkStart w:id="126" w:name="_Toc26952"/>
      <w:bookmarkStart w:id="127" w:name="_Toc29686_WPSOffice_Level2"/>
      <w:bookmarkStart w:id="128" w:name="_Toc3866"/>
      <w:bookmarkStart w:id="129" w:name="_Toc18221"/>
      <w:bookmarkStart w:id="130" w:name="_Toc11254"/>
      <w:bookmarkStart w:id="131" w:name="_Toc19990"/>
      <w:bookmarkStart w:id="132" w:name="_Toc11143"/>
      <w:bookmarkStart w:id="133" w:name="_Toc5278"/>
      <w:r>
        <w:rPr>
          <w:rFonts w:hint="default" w:ascii="Times New Roman" w:hAnsi="Times New Roman" w:eastAsia="宋体" w:cs="Times New Roman"/>
          <w:b/>
          <w:bCs/>
          <w:color w:val="auto"/>
          <w:sz w:val="24"/>
          <w:szCs w:val="24"/>
          <w:highlight w:val="none"/>
          <w:lang w:eastAsia="zh-CN"/>
        </w:rPr>
        <w:t>工作内容</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keepNext w:val="0"/>
        <w:keepLines w:val="0"/>
        <w:pageBreakBefore w:val="0"/>
        <w:widowControl w:val="0"/>
        <w:numPr>
          <w:ilvl w:val="0"/>
          <w:numId w:val="0"/>
        </w:numPr>
        <w:kinsoku/>
        <w:wordWrap w:val="0"/>
        <w:overflowPunct/>
        <w:topLinePunct/>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投标方负责本</w:t>
      </w:r>
      <w:r>
        <w:rPr>
          <w:rFonts w:hint="eastAsia" w:ascii="Times New Roman" w:hAnsi="Times New Roman" w:eastAsia="宋体" w:cs="Times New Roman"/>
          <w:b w:val="0"/>
          <w:bCs w:val="0"/>
          <w:kern w:val="2"/>
          <w:sz w:val="24"/>
          <w:szCs w:val="24"/>
          <w:highlight w:val="none"/>
          <w:lang w:val="en-US" w:eastAsia="zh-CN" w:bidi="ar-SA"/>
        </w:rPr>
        <w:t>次</w:t>
      </w:r>
      <w:r>
        <w:rPr>
          <w:rFonts w:hint="default" w:ascii="Times New Roman" w:hAnsi="Times New Roman" w:eastAsia="宋体" w:cs="Times New Roman"/>
          <w:b w:val="0"/>
          <w:bCs w:val="0"/>
          <w:kern w:val="2"/>
          <w:sz w:val="24"/>
          <w:szCs w:val="24"/>
          <w:highlight w:val="none"/>
          <w:lang w:val="en-US" w:eastAsia="zh-CN" w:bidi="ar-SA"/>
        </w:rPr>
        <w:t>项目可行性研究报告编制。可行性研究报告应符合《火力发电厂可行性研究报告内容深度规定》（DL/T5375-2018）的要求。</w:t>
      </w:r>
      <w:r>
        <w:rPr>
          <w:rFonts w:hint="default" w:ascii="Times New Roman" w:hAnsi="Times New Roman" w:eastAsia="宋体" w:cs="Times New Roman"/>
          <w:b/>
          <w:bCs/>
          <w:kern w:val="2"/>
          <w:sz w:val="24"/>
          <w:szCs w:val="24"/>
          <w:highlight w:val="none"/>
          <w:lang w:val="en-US" w:eastAsia="zh-CN" w:bidi="ar-SA"/>
        </w:rPr>
        <w:t>主要工作内容包括（但不限于此）：</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负责可行性研究全过程设计任务的勘测工作和服务工作，以及勘测现场的协调工作，按照国家、电力行业有关标准和内容深度要求完成设计工作，完成可行性研究阶段勘测报告。</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根据本项目进展情况，协助业主进行文件的报批以及工程所</w:t>
      </w:r>
      <w:r>
        <w:rPr>
          <w:rFonts w:hint="eastAsia" w:eastAsia="宋体" w:cs="Times New Roman"/>
          <w:b/>
          <w:bCs/>
          <w:kern w:val="2"/>
          <w:sz w:val="24"/>
          <w:szCs w:val="24"/>
          <w:highlight w:val="none"/>
          <w:lang w:val="en-US" w:eastAsia="zh-CN" w:bidi="ar-SA"/>
        </w:rPr>
        <w:t>涉及的</w:t>
      </w:r>
      <w:r>
        <w:rPr>
          <w:rFonts w:hint="default" w:ascii="Times New Roman" w:hAnsi="Times New Roman" w:eastAsia="宋体" w:cs="Times New Roman"/>
          <w:b/>
          <w:bCs/>
          <w:kern w:val="2"/>
          <w:sz w:val="24"/>
          <w:szCs w:val="24"/>
          <w:highlight w:val="none"/>
          <w:lang w:val="en-US" w:eastAsia="zh-CN" w:bidi="ar-SA"/>
        </w:rPr>
        <w:t>所有工程招标文件</w:t>
      </w:r>
      <w:r>
        <w:rPr>
          <w:rFonts w:hint="eastAsia" w:eastAsia="宋体" w:cs="Times New Roman"/>
          <w:b/>
          <w:bCs/>
          <w:kern w:val="2"/>
          <w:sz w:val="24"/>
          <w:szCs w:val="24"/>
          <w:highlight w:val="none"/>
          <w:lang w:val="en-US" w:eastAsia="zh-CN" w:bidi="ar-SA"/>
        </w:rPr>
        <w:t>编制</w:t>
      </w:r>
      <w:r>
        <w:rPr>
          <w:rFonts w:hint="default" w:ascii="Times New Roman" w:hAnsi="Times New Roman" w:eastAsia="宋体" w:cs="Times New Roman"/>
          <w:b/>
          <w:bCs/>
          <w:kern w:val="2"/>
          <w:sz w:val="24"/>
          <w:szCs w:val="24"/>
          <w:highlight w:val="none"/>
          <w:lang w:val="en-US" w:eastAsia="zh-CN" w:bidi="ar-SA"/>
        </w:rPr>
        <w:t>等工作，并配合安评、环评单位提交所需全部资料，保证所提资料满足安评、环评要求。</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负责可行性研究报告编制，并提供审查可行性研究报告、供招标方审查及其他专题论证的基础资料。在可行性研究报告编制过程中，如果因为国家产业政策、装机方案、技术先进性、总平面布置以及燃料等发生重大变化，</w:t>
      </w:r>
      <w:r>
        <w:rPr>
          <w:rFonts w:hint="eastAsia" w:eastAsia="宋体" w:cs="Times New Roman"/>
          <w:b/>
          <w:bCs/>
          <w:kern w:val="2"/>
          <w:sz w:val="24"/>
          <w:szCs w:val="24"/>
          <w:highlight w:val="none"/>
          <w:lang w:val="en-US" w:eastAsia="zh-CN" w:bidi="ar-SA"/>
        </w:rPr>
        <w:t>投标方</w:t>
      </w:r>
      <w:r>
        <w:rPr>
          <w:rFonts w:hint="default" w:ascii="Times New Roman" w:hAnsi="Times New Roman" w:eastAsia="宋体" w:cs="Times New Roman"/>
          <w:b/>
          <w:bCs/>
          <w:kern w:val="2"/>
          <w:sz w:val="24"/>
          <w:szCs w:val="24"/>
          <w:highlight w:val="none"/>
          <w:lang w:val="en-US" w:eastAsia="zh-CN" w:bidi="ar-SA"/>
        </w:rPr>
        <w:t>应及时对可行性研究报告进行修编</w:t>
      </w:r>
      <w:r>
        <w:rPr>
          <w:rFonts w:hint="eastAsia" w:eastAsia="宋体" w:cs="Times New Roman"/>
          <w:b/>
          <w:bCs/>
          <w:kern w:val="2"/>
          <w:sz w:val="24"/>
          <w:szCs w:val="24"/>
          <w:highlight w:val="none"/>
          <w:lang w:val="en-US" w:eastAsia="zh-CN" w:bidi="ar-SA"/>
        </w:rPr>
        <w:t>，根据修编工作内容协商相关事宜。</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投标方进行可研设计（包括经济技术分析），可研设计方案应遵照执行国家、地方、行业的各项环保、节能政策，符合法律法规及最新标准的要求，且应结合项目实际，选择先进、成熟、适当的工艺。</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编制可行性研究报告送审稿，可行性研究报告包括但不限于方案设计、图纸、估算等。可行性研究报告应有2个及以上的方案对比。</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根据可行性研究阶段的进展和需要组织召开技术联络会，参加可行性研究报告审查会，根据可行性研究审查意见完善可行性研究报告。</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eastAsia" w:eastAsia="宋体" w:cs="Times New Roman"/>
          <w:b/>
          <w:bCs/>
          <w:kern w:val="2"/>
          <w:sz w:val="24"/>
          <w:szCs w:val="24"/>
          <w:highlight w:val="none"/>
          <w:lang w:val="en-US" w:eastAsia="zh-CN" w:bidi="ar-SA"/>
        </w:rPr>
        <w:t>负责组织项目内审的全部工作，并且在项目需要时负责项目外审会务工作</w:t>
      </w:r>
      <w:r>
        <w:rPr>
          <w:rFonts w:hint="default" w:ascii="Times New Roman" w:hAnsi="Times New Roman" w:eastAsia="宋体" w:cs="Times New Roman"/>
          <w:b/>
          <w:bCs/>
          <w:kern w:val="2"/>
          <w:sz w:val="24"/>
          <w:szCs w:val="24"/>
          <w:highlight w:val="none"/>
          <w:lang w:val="en-US" w:eastAsia="zh-CN" w:bidi="ar-SA"/>
        </w:rPr>
        <w:t>，以及外部政策因素变化或立项审批过程中的上级部门提出的可研修改优化等工作</w:t>
      </w:r>
      <w:r>
        <w:rPr>
          <w:rFonts w:hint="eastAsia" w:eastAsia="宋体" w:cs="Times New Roman"/>
          <w:b/>
          <w:bCs/>
          <w:kern w:val="2"/>
          <w:sz w:val="24"/>
          <w:szCs w:val="24"/>
          <w:highlight w:val="none"/>
          <w:lang w:val="en-US" w:eastAsia="zh-CN" w:bidi="ar-SA"/>
        </w:rPr>
        <w:t>。</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向招标方提供所有相关的技术资料。</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default" w:ascii="Times New Roman" w:hAnsi="Times New Roman" w:eastAsia="宋体" w:cs="Times New Roman"/>
          <w:b/>
          <w:bCs/>
          <w:kern w:val="2"/>
          <w:sz w:val="24"/>
          <w:szCs w:val="24"/>
          <w:highlight w:val="none"/>
          <w:lang w:val="en-US" w:eastAsia="zh-CN" w:bidi="ar-SA"/>
        </w:rPr>
        <w:t>对招标方委托和外委的可行性研究阶段其他专题论证、可行性研究报告和审查意见的技术汇总、</w:t>
      </w:r>
      <w:r>
        <w:rPr>
          <w:rFonts w:hint="eastAsia" w:eastAsia="宋体" w:cs="Times New Roman"/>
          <w:b/>
          <w:bCs/>
          <w:kern w:val="2"/>
          <w:sz w:val="24"/>
          <w:szCs w:val="24"/>
          <w:highlight w:val="none"/>
          <w:lang w:val="en-US" w:eastAsia="zh-CN" w:bidi="ar-SA"/>
        </w:rPr>
        <w:t>协调、配合，</w:t>
      </w:r>
      <w:r>
        <w:rPr>
          <w:rFonts w:hint="default" w:ascii="Times New Roman" w:hAnsi="Times New Roman" w:eastAsia="宋体" w:cs="Times New Roman"/>
          <w:b/>
          <w:bCs/>
          <w:kern w:val="2"/>
          <w:sz w:val="24"/>
          <w:szCs w:val="24"/>
          <w:highlight w:val="none"/>
          <w:lang w:val="en-US" w:eastAsia="zh-CN" w:bidi="ar-SA"/>
        </w:rPr>
        <w:t>并按照审查和批复意见完成可行性研究报告的修编和收口工作，最终形成可行性研究收口报告。</w:t>
      </w:r>
    </w:p>
    <w:p>
      <w:pPr>
        <w:keepNext w:val="0"/>
        <w:keepLines w:val="0"/>
        <w:pageBreakBefore w:val="0"/>
        <w:widowControl w:val="0"/>
        <w:numPr>
          <w:ilvl w:val="0"/>
          <w:numId w:val="2"/>
        </w:numPr>
        <w:kinsoku/>
        <w:wordWrap w:val="0"/>
        <w:overflowPunct/>
        <w:topLinePunct/>
        <w:autoSpaceDE/>
        <w:autoSpaceDN/>
        <w:bidi w:val="0"/>
        <w:adjustRightInd/>
        <w:snapToGrid/>
        <w:spacing w:line="360" w:lineRule="auto"/>
        <w:ind w:leftChars="0" w:firstLine="482" w:firstLineChars="200"/>
        <w:textAlignment w:val="auto"/>
        <w:rPr>
          <w:rFonts w:hint="default" w:ascii="Times New Roman" w:hAnsi="Times New Roman" w:eastAsia="宋体" w:cs="Times New Roman"/>
          <w:b/>
          <w:bCs/>
          <w:kern w:val="2"/>
          <w:sz w:val="24"/>
          <w:szCs w:val="24"/>
          <w:highlight w:val="none"/>
          <w:lang w:val="en-US" w:eastAsia="zh-CN" w:bidi="ar-SA"/>
        </w:rPr>
      </w:pPr>
      <w:r>
        <w:rPr>
          <w:rFonts w:hint="eastAsia" w:eastAsia="宋体" w:cs="Times New Roman"/>
          <w:b/>
          <w:bCs/>
          <w:kern w:val="2"/>
          <w:sz w:val="24"/>
          <w:szCs w:val="24"/>
          <w:highlight w:val="none"/>
          <w:lang w:val="en-US" w:eastAsia="zh-CN" w:bidi="ar-SA"/>
        </w:rPr>
        <w:t>核准报告编制并</w:t>
      </w:r>
      <w:r>
        <w:rPr>
          <w:rFonts w:hint="default" w:ascii="Times New Roman" w:hAnsi="Times New Roman" w:eastAsia="宋体" w:cs="Times New Roman"/>
          <w:b/>
          <w:bCs/>
          <w:kern w:val="2"/>
          <w:sz w:val="24"/>
          <w:szCs w:val="24"/>
          <w:highlight w:val="none"/>
          <w:lang w:val="en-US" w:eastAsia="zh-CN" w:bidi="ar-SA"/>
        </w:rPr>
        <w:t>协助</w:t>
      </w:r>
      <w:r>
        <w:rPr>
          <w:rFonts w:hint="eastAsia" w:eastAsia="宋体" w:cs="Times New Roman"/>
          <w:b/>
          <w:bCs/>
          <w:kern w:val="2"/>
          <w:sz w:val="24"/>
          <w:szCs w:val="24"/>
          <w:highlight w:val="none"/>
          <w:lang w:val="en-US" w:eastAsia="zh-CN" w:bidi="ar-SA"/>
        </w:rPr>
        <w:t>招标方</w:t>
      </w:r>
      <w:r>
        <w:rPr>
          <w:rFonts w:hint="default" w:ascii="Times New Roman" w:hAnsi="Times New Roman" w:eastAsia="宋体" w:cs="Times New Roman"/>
          <w:b/>
          <w:bCs/>
          <w:kern w:val="2"/>
          <w:sz w:val="24"/>
          <w:szCs w:val="24"/>
          <w:highlight w:val="none"/>
          <w:lang w:val="en-US" w:eastAsia="zh-CN" w:bidi="ar-SA"/>
        </w:rPr>
        <w:t>完成核准审批</w:t>
      </w:r>
      <w:r>
        <w:rPr>
          <w:rFonts w:hint="eastAsia" w:eastAsia="宋体" w:cs="Times New Roman"/>
          <w:b/>
          <w:bCs/>
          <w:kern w:val="2"/>
          <w:sz w:val="24"/>
          <w:szCs w:val="24"/>
          <w:highlight w:val="none"/>
          <w:lang w:val="en-US" w:eastAsia="zh-CN" w:bidi="ar-SA"/>
        </w:rPr>
        <w:t>等项目可能开展的后续</w:t>
      </w:r>
      <w:r>
        <w:rPr>
          <w:rFonts w:hint="default" w:ascii="Times New Roman" w:hAnsi="Times New Roman" w:eastAsia="宋体" w:cs="Times New Roman"/>
          <w:b/>
          <w:bCs/>
          <w:kern w:val="2"/>
          <w:sz w:val="24"/>
          <w:szCs w:val="24"/>
          <w:highlight w:val="none"/>
          <w:lang w:val="en-US" w:eastAsia="zh-CN" w:bidi="ar-SA"/>
        </w:rPr>
        <w:t>工作。</w:t>
      </w:r>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bCs/>
          <w:sz w:val="24"/>
          <w:szCs w:val="24"/>
        </w:rPr>
      </w:pPr>
      <w:bookmarkStart w:id="134" w:name="_Toc15872_WPSOffice_Level1"/>
      <w:r>
        <w:rPr>
          <w:rFonts w:hint="default" w:ascii="Times New Roman" w:hAnsi="Times New Roman" w:eastAsia="宋体" w:cs="Times New Roman"/>
          <w:b/>
          <w:bCs/>
          <w:sz w:val="24"/>
          <w:szCs w:val="24"/>
          <w:lang w:eastAsia="zh-CN"/>
        </w:rPr>
        <w:t>技术要求</w:t>
      </w:r>
      <w:bookmarkEnd w:id="134"/>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eastAsia="zh-CN"/>
        </w:rPr>
      </w:pPr>
      <w:bookmarkStart w:id="135" w:name="_Toc31006"/>
      <w:bookmarkStart w:id="136" w:name="_Toc27001"/>
      <w:bookmarkStart w:id="137" w:name="_Toc30571"/>
      <w:bookmarkStart w:id="138" w:name="_Toc22290_WPSOffice_Level2"/>
      <w:bookmarkStart w:id="139" w:name="_Toc7873"/>
      <w:bookmarkStart w:id="140" w:name="_Toc31806"/>
      <w:bookmarkStart w:id="141" w:name="_Toc7929"/>
      <w:bookmarkStart w:id="142" w:name="_Toc29828"/>
      <w:bookmarkStart w:id="143" w:name="_Toc13868_WPSOffice_Level2"/>
      <w:bookmarkStart w:id="144" w:name="_Toc29888"/>
      <w:bookmarkStart w:id="145" w:name="_Toc30102"/>
      <w:bookmarkStart w:id="146" w:name="_Toc26293_WPSOffice_Level2"/>
      <w:bookmarkStart w:id="147" w:name="_Toc11626"/>
      <w:bookmarkStart w:id="148" w:name="_Toc22145"/>
      <w:bookmarkStart w:id="149" w:name="_Toc11029"/>
      <w:bookmarkStart w:id="150" w:name="_Toc24725_WPSOffice_Level2"/>
      <w:bookmarkStart w:id="151" w:name="_Toc23926"/>
      <w:bookmarkStart w:id="152" w:name="_Toc15640_WPSOffice_Level2"/>
      <w:r>
        <w:rPr>
          <w:rFonts w:hint="default" w:ascii="Times New Roman" w:hAnsi="Times New Roman" w:eastAsia="宋体" w:cs="Times New Roman"/>
          <w:b/>
          <w:bCs/>
          <w:color w:val="auto"/>
          <w:sz w:val="24"/>
          <w:szCs w:val="24"/>
          <w:highlight w:val="none"/>
          <w:lang w:eastAsia="zh-CN"/>
        </w:rPr>
        <w:t>服务标准和规范</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w:t>
      </w:r>
      <w:r>
        <w:rPr>
          <w:rFonts w:hint="eastAsia" w:ascii="Times New Roman" w:hAnsi="Times New Roman" w:eastAsia="宋体" w:cs="Times New Roman"/>
          <w:b w:val="0"/>
          <w:bCs w:val="0"/>
          <w:kern w:val="2"/>
          <w:sz w:val="24"/>
          <w:szCs w:val="24"/>
          <w:highlight w:val="none"/>
          <w:lang w:val="en-US" w:eastAsia="zh-CN" w:bidi="ar-SA"/>
        </w:rPr>
        <w:t>服务</w:t>
      </w:r>
      <w:r>
        <w:rPr>
          <w:rFonts w:hint="default" w:ascii="Times New Roman" w:hAnsi="Times New Roman" w:eastAsia="宋体" w:cs="Times New Roman"/>
          <w:b w:val="0"/>
          <w:bCs w:val="0"/>
          <w:kern w:val="2"/>
          <w:sz w:val="24"/>
          <w:szCs w:val="24"/>
          <w:highlight w:val="none"/>
          <w:lang w:val="en-US" w:eastAsia="zh-CN" w:bidi="ar-SA"/>
        </w:rPr>
        <w:t>项目所适用的法律、标准、规范为国家、地方及行业现行的法律、标准、规范，以及在合同实施期间国家、地方及行业对相应法律、标准或规范的修改，以及新颁布的法律、标准和规范。具体法律、标准和规范见专用部分，如专用部分未单独列出法律、规范和标准，则按国家、地方及行业相应最高要求实施。</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w:t>
      </w:r>
      <w:r>
        <w:rPr>
          <w:rFonts w:hint="eastAsia" w:ascii="Times New Roman" w:hAnsi="Times New Roman" w:eastAsia="宋体" w:cs="Times New Roman"/>
          <w:b w:val="0"/>
          <w:bCs w:val="0"/>
          <w:kern w:val="2"/>
          <w:sz w:val="24"/>
          <w:szCs w:val="24"/>
          <w:highlight w:val="none"/>
          <w:lang w:val="en-US" w:eastAsia="zh-CN" w:bidi="ar-SA"/>
        </w:rPr>
        <w:t>服务</w:t>
      </w:r>
      <w:r>
        <w:rPr>
          <w:rFonts w:hint="default" w:ascii="Times New Roman" w:hAnsi="Times New Roman" w:eastAsia="宋体" w:cs="Times New Roman"/>
          <w:b w:val="0"/>
          <w:bCs w:val="0"/>
          <w:kern w:val="2"/>
          <w:sz w:val="24"/>
          <w:szCs w:val="24"/>
          <w:highlight w:val="none"/>
          <w:lang w:val="en-US" w:eastAsia="zh-CN" w:bidi="ar-SA"/>
        </w:rPr>
        <w:t>项目在执行上述要求外，还须执行四川省投资集团有限公司、招标方的相关管理文件要求。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w:t>
      </w:r>
      <w:r>
        <w:rPr>
          <w:rFonts w:hint="eastAsia" w:ascii="Times New Roman" w:hAnsi="Times New Roman" w:eastAsia="宋体" w:cs="Times New Roman"/>
          <w:b w:val="0"/>
          <w:bCs w:val="0"/>
          <w:kern w:val="2"/>
          <w:sz w:val="24"/>
          <w:szCs w:val="24"/>
          <w:highlight w:val="none"/>
          <w:lang w:val="en-US" w:eastAsia="zh-CN" w:bidi="ar-SA"/>
        </w:rPr>
        <w:t>项目</w:t>
      </w:r>
      <w:r>
        <w:rPr>
          <w:rFonts w:hint="default" w:ascii="Times New Roman" w:hAnsi="Times New Roman" w:eastAsia="宋体" w:cs="Times New Roman"/>
          <w:b w:val="0"/>
          <w:bCs w:val="0"/>
          <w:kern w:val="2"/>
          <w:sz w:val="24"/>
          <w:szCs w:val="24"/>
          <w:highlight w:val="none"/>
          <w:lang w:val="en-US" w:eastAsia="zh-CN" w:bidi="ar-SA"/>
        </w:rPr>
        <w:t>可行性研究</w:t>
      </w:r>
      <w:r>
        <w:rPr>
          <w:rFonts w:hint="eastAsia" w:ascii="Times New Roman" w:hAnsi="Times New Roman" w:eastAsia="宋体" w:cs="Times New Roman"/>
          <w:b w:val="0"/>
          <w:bCs w:val="0"/>
          <w:kern w:val="2"/>
          <w:sz w:val="24"/>
          <w:szCs w:val="24"/>
          <w:highlight w:val="none"/>
          <w:lang w:val="en-US" w:eastAsia="zh-CN" w:bidi="ar-SA"/>
        </w:rPr>
        <w:t>服务</w:t>
      </w:r>
      <w:r>
        <w:rPr>
          <w:rFonts w:hint="default" w:ascii="Times New Roman" w:hAnsi="Times New Roman" w:eastAsia="宋体" w:cs="Times New Roman"/>
          <w:b w:val="0"/>
          <w:bCs w:val="0"/>
          <w:kern w:val="2"/>
          <w:sz w:val="24"/>
          <w:szCs w:val="24"/>
          <w:highlight w:val="none"/>
          <w:lang w:val="en-US" w:eastAsia="zh-CN" w:bidi="ar-SA"/>
        </w:rPr>
        <w:t>的委托合同及补充合同。</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合同履行中与设计服务有关的来往函件。</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本项目初步可行性研究报告。</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本项目初步可行性研究报告审查意见。</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其他设计依据。</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本</w:t>
      </w:r>
      <w:r>
        <w:rPr>
          <w:rFonts w:hint="eastAsia" w:ascii="Times New Roman" w:hAnsi="Times New Roman" w:eastAsia="宋体" w:cs="Times New Roman"/>
          <w:sz w:val="24"/>
          <w:szCs w:val="24"/>
          <w:highlight w:val="none"/>
          <w:lang w:val="en-US" w:eastAsia="zh-CN"/>
        </w:rPr>
        <w:t>服务</w:t>
      </w:r>
      <w:r>
        <w:rPr>
          <w:rFonts w:hint="default" w:ascii="Times New Roman" w:hAnsi="Times New Roman" w:eastAsia="宋体" w:cs="Times New Roman"/>
          <w:sz w:val="24"/>
          <w:szCs w:val="24"/>
          <w:highlight w:val="none"/>
          <w:lang w:val="en-US" w:eastAsia="zh-CN"/>
        </w:rPr>
        <w:t>项目所适用标准和规范如下（包括但不限于，其中没有标注日期的标准，其最新版本适用于本项目）：</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《大中型火力发电厂设计规范》（GB 50660-2011）；</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《火力发电厂岩土工程勘察规范》（GB/T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51031-2014）</w:t>
      </w:r>
      <w:r>
        <w:rPr>
          <w:rFonts w:hint="eastAsia" w:eastAsia="宋体" w:cs="Times New Roman"/>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《建设项目竣工环境保护验收技术规范 火力发电厂》</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HJ/T 255</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eastAsia" w:eastAsia="宋体" w:cs="Times New Roman"/>
          <w:sz w:val="24"/>
          <w:szCs w:val="24"/>
          <w:lang w:eastAsia="zh-CN"/>
        </w:rPr>
        <w:t>《</w:t>
      </w:r>
      <w:r>
        <w:rPr>
          <w:rFonts w:hint="default" w:ascii="Times New Roman" w:hAnsi="Times New Roman" w:eastAsia="宋体" w:cs="Times New Roman"/>
          <w:sz w:val="24"/>
          <w:szCs w:val="24"/>
        </w:rPr>
        <w:t>火力发电厂职业安全设计规程</w:t>
      </w:r>
      <w:r>
        <w:rPr>
          <w:rFonts w:hint="eastAsia" w:eastAsia="宋体" w:cs="Times New Roman"/>
          <w:sz w:val="24"/>
          <w:szCs w:val="24"/>
          <w:lang w:eastAsia="zh-CN"/>
        </w:rPr>
        <w:t>》（</w:t>
      </w:r>
      <w:r>
        <w:rPr>
          <w:rFonts w:hint="default" w:ascii="Times New Roman" w:hAnsi="Times New Roman" w:eastAsia="宋体" w:cs="Times New Roman"/>
          <w:sz w:val="24"/>
          <w:szCs w:val="24"/>
        </w:rPr>
        <w:t>DL 5053-2012</w:t>
      </w:r>
      <w:r>
        <w:rPr>
          <w:rFonts w:hint="eastAsia" w:eastAsia="宋体" w:cs="Times New Roman"/>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《火力发电厂可行性研究报告内容深度规定》（DL/T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5374-2018）；</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6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其他有关设计标准、规范。</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eastAsia="zh-CN"/>
        </w:rPr>
      </w:pPr>
      <w:bookmarkStart w:id="153" w:name="_Toc30123_WPSOffice_Level2"/>
      <w:bookmarkStart w:id="154" w:name="_Toc9786"/>
      <w:bookmarkStart w:id="155" w:name="_Toc6013"/>
      <w:bookmarkStart w:id="156" w:name="_Toc99"/>
      <w:bookmarkStart w:id="157" w:name="_Toc29576"/>
      <w:bookmarkStart w:id="158" w:name="_Toc13341"/>
      <w:bookmarkStart w:id="159" w:name="_Toc16142"/>
      <w:bookmarkStart w:id="160" w:name="_Toc4293"/>
      <w:bookmarkStart w:id="161" w:name="_Toc10704"/>
      <w:bookmarkStart w:id="162" w:name="_Toc345"/>
      <w:bookmarkStart w:id="163" w:name="_Toc25558"/>
      <w:bookmarkStart w:id="164" w:name="_Toc26906"/>
      <w:r>
        <w:rPr>
          <w:rFonts w:hint="default" w:ascii="Times New Roman" w:hAnsi="Times New Roman" w:eastAsia="宋体" w:cs="Times New Roman"/>
          <w:b/>
          <w:bCs/>
          <w:color w:val="auto"/>
          <w:sz w:val="24"/>
          <w:szCs w:val="24"/>
          <w:highlight w:val="none"/>
          <w:lang w:eastAsia="zh-CN"/>
        </w:rPr>
        <w:t>资源配置及组织要求</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投入充足的、具有多年勘测设计经验的优秀设计骨干力量，组成强有力的项目工程组组织机构设置和人员配置，满足本次工作任务要求，保证按照投标书承诺的工期完成勘测设计工作。其中须指定人员作为本服务项目团队的负责人。</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投标方的工作人员应具有与本</w:t>
      </w:r>
      <w:r>
        <w:rPr>
          <w:rFonts w:hint="eastAsia" w:ascii="Times New Roman" w:hAnsi="Times New Roman" w:eastAsia="宋体" w:cs="Times New Roman"/>
          <w:b w:val="0"/>
          <w:bCs w:val="0"/>
          <w:kern w:val="2"/>
          <w:sz w:val="24"/>
          <w:szCs w:val="24"/>
          <w:highlight w:val="none"/>
          <w:lang w:val="en-US" w:eastAsia="zh-CN" w:bidi="ar-SA"/>
        </w:rPr>
        <w:t>服务</w:t>
      </w:r>
      <w:r>
        <w:rPr>
          <w:rFonts w:hint="default" w:ascii="Times New Roman" w:hAnsi="Times New Roman" w:eastAsia="宋体" w:cs="Times New Roman"/>
          <w:b w:val="0"/>
          <w:bCs w:val="0"/>
          <w:kern w:val="2"/>
          <w:sz w:val="24"/>
          <w:szCs w:val="24"/>
          <w:highlight w:val="none"/>
          <w:lang w:val="en-US" w:eastAsia="zh-CN" w:bidi="ar-SA"/>
        </w:rPr>
        <w:t>项目技术要求相适应的技术水平、管理水平和相应资质。</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组织机构及人员配置，由投标方填写。</w:t>
      </w:r>
    </w:p>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表4-1  组织机构岗位定员（投标方填写）</w:t>
      </w:r>
    </w:p>
    <w:tbl>
      <w:tblPr>
        <w:tblStyle w:val="12"/>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350"/>
        <w:gridCol w:w="4099"/>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岗位名称</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定员</w:t>
            </w: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岗位主要职责</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4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bl>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表4-2  人员配置表（投标方填写）</w:t>
      </w:r>
    </w:p>
    <w:tbl>
      <w:tblPr>
        <w:tblStyle w:val="12"/>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975"/>
        <w:gridCol w:w="1170"/>
        <w:gridCol w:w="1320"/>
        <w:gridCol w:w="1575"/>
        <w:gridCol w:w="1701"/>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blHeader/>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序号</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姓名</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性别</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年龄</w:t>
            </w: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专业</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学历/职称</w:t>
            </w:r>
          </w:p>
        </w:tc>
        <w:tc>
          <w:tcPr>
            <w:tcW w:w="9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jc w:val="center"/>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9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c>
          <w:tcPr>
            <w:tcW w:w="9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b w:val="0"/>
                <w:bCs w:val="0"/>
                <w:kern w:val="2"/>
                <w:sz w:val="21"/>
                <w:szCs w:val="21"/>
                <w:highlight w:val="none"/>
                <w:lang w:val="en-US" w:eastAsia="zh-CN" w:bidi="ar-SA"/>
              </w:rPr>
            </w:pPr>
          </w:p>
        </w:tc>
      </w:tr>
    </w:tbl>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保持服务人员的稳定性。除非招标方另行书面同意，否则，投标方不得更换主设人员。如果由于非投标方正常控制的原因而需替换该类人员，投标方应在取得招标方书面同意后，以同等或更高条件的人员取代前述人员。若因人员更换影响本服务工作的，由投标方承担所有损失责任。</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如投标方服务人员不能满足要求，招标方有权要求投标方增加或更换服务人员，投标方应无条件配合。</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bookmarkStart w:id="165" w:name="_Toc5558"/>
      <w:bookmarkStart w:id="166" w:name="_Toc28365"/>
      <w:r>
        <w:rPr>
          <w:rFonts w:hint="default" w:ascii="Times New Roman" w:hAnsi="Times New Roman" w:eastAsia="宋体" w:cs="Times New Roman"/>
          <w:b w:val="0"/>
          <w:bCs w:val="0"/>
          <w:kern w:val="2"/>
          <w:sz w:val="24"/>
          <w:szCs w:val="24"/>
          <w:highlight w:val="none"/>
          <w:lang w:val="en-US" w:eastAsia="zh-CN" w:bidi="ar-SA"/>
        </w:rPr>
        <w:t>投标方应按照本技术规范书规定进行勘测设计的组织和实施，保证设计质量。</w:t>
      </w:r>
    </w:p>
    <w:bookmarkEnd w:id="165"/>
    <w:bookmarkEnd w:id="166"/>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eastAsia="zh-CN"/>
        </w:rPr>
      </w:pPr>
      <w:bookmarkStart w:id="167" w:name="_Toc29984"/>
      <w:bookmarkStart w:id="168" w:name="_Toc3665"/>
      <w:bookmarkStart w:id="169" w:name="_Toc7842"/>
      <w:bookmarkStart w:id="170" w:name="_Toc12277"/>
      <w:bookmarkStart w:id="171" w:name="_Toc24637"/>
      <w:bookmarkStart w:id="172" w:name="_Toc32705"/>
      <w:bookmarkStart w:id="173" w:name="_Toc30454"/>
      <w:bookmarkStart w:id="174" w:name="_Toc4033"/>
      <w:bookmarkStart w:id="175" w:name="_Toc25566"/>
      <w:bookmarkStart w:id="176" w:name="_Toc13409"/>
      <w:bookmarkStart w:id="177" w:name="_Toc29364_WPSOffice_Level2"/>
      <w:bookmarkStart w:id="178" w:name="_Toc23493"/>
      <w:bookmarkStart w:id="179" w:name="_Toc1879"/>
      <w:bookmarkStart w:id="180" w:name="_Toc28655"/>
      <w:bookmarkStart w:id="181" w:name="_Toc6716_WPSOffice_Level2"/>
      <w:bookmarkStart w:id="182" w:name="_Toc7665_WPSOffice_Level2"/>
      <w:r>
        <w:rPr>
          <w:rFonts w:hint="default" w:ascii="Times New Roman" w:hAnsi="Times New Roman" w:eastAsia="宋体" w:cs="Times New Roman"/>
          <w:b/>
          <w:bCs/>
          <w:color w:val="auto"/>
          <w:sz w:val="24"/>
          <w:szCs w:val="24"/>
          <w:highlight w:val="none"/>
          <w:lang w:eastAsia="zh-CN"/>
        </w:rPr>
        <w:t>服务方式及工作要求</w:t>
      </w:r>
      <w:bookmarkEnd w:id="167"/>
      <w:bookmarkEnd w:id="168"/>
      <w:bookmarkEnd w:id="169"/>
      <w:bookmarkEnd w:id="170"/>
      <w:bookmarkEnd w:id="171"/>
      <w:bookmarkEnd w:id="172"/>
      <w:bookmarkEnd w:id="173"/>
      <w:bookmarkEnd w:id="174"/>
      <w:bookmarkEnd w:id="175"/>
      <w:bookmarkEnd w:id="176"/>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根据现行有效的国家、地方有关法律、法规、技术规范和各级行政主管部门具体要求，完成现场查勘。</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按照国家及行业现行最新的标准、规程、规范、技术条例开展服务工作，严格掌握服务标准，控制工程造价。投标方应在服务过程中采用优化措施降低工程造价、缩短工期以提高工程整体经济性。</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的服务应根据招标方场地实际情况，选用国家和行业规定的技术标准，采用系统精简、可靠性高的技术，降低工程造价。如果国家与相关行业对项目某些设备或部件没有规定技术标准，则可采用供应商提供的标准。如果招标方要求投标方采用国外标准和规范的，则投标方应按要求执行。</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投标方应根据业主需要，实时调整计划，安排相应人力、物力资源满足工程进度要求。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除另有约定外，投标方的服务不得选用试验阶段的技术。</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投标方应坚持科学可靠，并借鉴同项目实践经验，确保项目实施达到国家相关要求。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投标方的服务应贯彻 ISO9000/GBT19000系列质量体系标准，并满足国家有关环保、消防等方面的要求。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根据项目需要，按照招标方要求及时派遣具有相关经验的专业技术人员，对项目可行性研究及相关急需解决的问题进行现场服务。一般事项，投标方人员应在一天内到达现场；特急现场问题，投标方须12小时内到达现场。</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eastAsia="宋体" w:cs="Times New Roman"/>
          <w:b w:val="0"/>
          <w:bCs w:val="0"/>
          <w:kern w:val="2"/>
          <w:sz w:val="24"/>
          <w:szCs w:val="24"/>
          <w:highlight w:val="none"/>
          <w:lang w:val="en-US" w:eastAsia="zh-CN" w:bidi="ar-SA"/>
        </w:rPr>
        <w:t>在服务期限内，</w:t>
      </w:r>
      <w:r>
        <w:rPr>
          <w:rFonts w:hint="default" w:ascii="Times New Roman" w:hAnsi="Times New Roman" w:eastAsia="宋体" w:cs="Times New Roman"/>
          <w:b w:val="0"/>
          <w:bCs w:val="0"/>
          <w:kern w:val="2"/>
          <w:sz w:val="24"/>
          <w:szCs w:val="24"/>
          <w:highlight w:val="none"/>
          <w:lang w:val="en-US" w:eastAsia="zh-CN" w:bidi="ar-SA"/>
        </w:rPr>
        <w:t>为招标方提供24小时项目咨询服务。</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投标方应派遣专人逐个跟踪及落实各个专题情况，系统组织各专题审查计划，完成核准前必须专题报告的编制和评审。同时及时完成相关报批文件编制，协助甲方取得核准文件。</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本项目可研报告编制过程中须对项目实施的可能性、有效性、技术方案及技术政策进行具体、深入、细致的技术论证和经济评价。</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本项目可研报告应为建设项目论证、审查、决策提供准确依据</w:t>
      </w:r>
      <w:r>
        <w:rPr>
          <w:rFonts w:hint="eastAsia" w:eastAsia="宋体" w:cs="Times New Roman"/>
          <w:b w:val="0"/>
          <w:bCs w:val="0"/>
          <w:kern w:val="2"/>
          <w:sz w:val="24"/>
          <w:szCs w:val="24"/>
          <w:highlight w:val="none"/>
          <w:lang w:val="en-US" w:eastAsia="zh-CN" w:bidi="ar-SA"/>
        </w:rPr>
        <w:t>。</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本项目可研报告应为建设编制设计任务书和初步设计提供依据</w:t>
      </w:r>
      <w:r>
        <w:rPr>
          <w:rFonts w:hint="eastAsia" w:eastAsia="宋体" w:cs="Times New Roman"/>
          <w:b w:val="0"/>
          <w:bCs w:val="0"/>
          <w:kern w:val="2"/>
          <w:sz w:val="24"/>
          <w:szCs w:val="24"/>
          <w:highlight w:val="none"/>
          <w:lang w:val="en-US" w:eastAsia="zh-CN" w:bidi="ar-SA"/>
        </w:rPr>
        <w:t>。</w:t>
      </w:r>
      <w:r>
        <w:rPr>
          <w:rFonts w:hint="default" w:ascii="Times New Roman" w:hAnsi="Times New Roman" w:eastAsia="宋体" w:cs="Times New Roman"/>
          <w:b w:val="0"/>
          <w:bCs w:val="0"/>
          <w:kern w:val="2"/>
          <w:sz w:val="24"/>
          <w:szCs w:val="24"/>
          <w:highlight w:val="none"/>
          <w:lang w:val="en-US" w:eastAsia="zh-CN" w:bidi="ar-SA"/>
        </w:rPr>
        <w:t> </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投标方的技术服务应确保招标方的项目通过国家相关部门的核准。</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eastAsia="zh-CN"/>
        </w:rPr>
      </w:pPr>
      <w:bookmarkStart w:id="183" w:name="_Toc4637"/>
      <w:bookmarkStart w:id="184" w:name="_Toc26178"/>
      <w:bookmarkStart w:id="185" w:name="_Toc31699"/>
      <w:bookmarkStart w:id="186" w:name="_Toc9960"/>
      <w:bookmarkStart w:id="187" w:name="_Toc11797"/>
      <w:bookmarkStart w:id="188" w:name="_Toc723"/>
      <w:bookmarkStart w:id="189" w:name="_Toc20389"/>
      <w:bookmarkStart w:id="190" w:name="_Toc1800"/>
      <w:bookmarkStart w:id="191" w:name="_Toc25257"/>
      <w:bookmarkStart w:id="192" w:name="_Toc729"/>
      <w:bookmarkStart w:id="193" w:name="_Toc8593"/>
      <w:bookmarkStart w:id="194" w:name="_Toc14303"/>
      <w:r>
        <w:rPr>
          <w:rFonts w:hint="default" w:ascii="Times New Roman" w:hAnsi="Times New Roman" w:eastAsia="宋体" w:cs="Times New Roman"/>
          <w:b/>
          <w:bCs/>
          <w:color w:val="auto"/>
          <w:sz w:val="24"/>
          <w:szCs w:val="24"/>
          <w:highlight w:val="none"/>
          <w:lang w:val="en-US" w:eastAsia="zh-CN"/>
        </w:rPr>
        <w:t>文件审查</w:t>
      </w:r>
      <w:r>
        <w:rPr>
          <w:rFonts w:hint="default" w:ascii="Times New Roman" w:hAnsi="Times New Roman" w:eastAsia="宋体" w:cs="Times New Roman"/>
          <w:b/>
          <w:bCs/>
          <w:color w:val="auto"/>
          <w:sz w:val="24"/>
          <w:szCs w:val="24"/>
          <w:highlight w:val="none"/>
          <w:lang w:eastAsia="zh-CN"/>
        </w:rPr>
        <w:t>要求</w:t>
      </w:r>
      <w:bookmarkEnd w:id="183"/>
      <w:bookmarkEnd w:id="184"/>
      <w:bookmarkEnd w:id="185"/>
      <w:bookmarkEnd w:id="186"/>
      <w:bookmarkEnd w:id="187"/>
      <w:bookmarkEnd w:id="188"/>
      <w:bookmarkEnd w:id="189"/>
      <w:bookmarkEnd w:id="190"/>
      <w:bookmarkEnd w:id="191"/>
      <w:bookmarkEnd w:id="192"/>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招标方将负责根据国家及行业的有关规定安排文件审查。</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投标方应参加招标方组织的对文件的审查，并根据审查结论负责文件的必要修改、调整和补充。</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招标方对文件的审查、确认、批准均不减轻或免除投标方本应承担的任何责任。</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投标方提供相应的可行性研究报告文件，并承担自身参与审查的费用。</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bookmarkStart w:id="195" w:name="_Toc16902"/>
      <w:bookmarkStart w:id="196" w:name="_Toc11278"/>
      <w:bookmarkStart w:id="197" w:name="_Toc9060"/>
      <w:bookmarkStart w:id="198" w:name="_Toc32110"/>
      <w:bookmarkStart w:id="199" w:name="_Toc13834"/>
      <w:bookmarkStart w:id="200" w:name="_Toc17660"/>
      <w:bookmarkStart w:id="201" w:name="_Toc26966"/>
      <w:bookmarkStart w:id="202" w:name="_Toc28591"/>
      <w:r>
        <w:rPr>
          <w:rFonts w:hint="default" w:ascii="Times New Roman" w:hAnsi="Times New Roman" w:eastAsia="宋体" w:cs="Times New Roman"/>
          <w:b/>
          <w:bCs/>
          <w:color w:val="auto"/>
          <w:sz w:val="24"/>
          <w:szCs w:val="24"/>
          <w:highlight w:val="none"/>
          <w:lang w:val="en-US" w:eastAsia="zh-CN"/>
        </w:rPr>
        <w:t>知识产权及保密要求</w:t>
      </w:r>
      <w:bookmarkEnd w:id="177"/>
      <w:bookmarkEnd w:id="178"/>
      <w:bookmarkEnd w:id="179"/>
      <w:bookmarkEnd w:id="180"/>
      <w:bookmarkEnd w:id="181"/>
      <w:bookmarkEnd w:id="182"/>
      <w:bookmarkEnd w:id="193"/>
      <w:bookmarkEnd w:id="194"/>
      <w:bookmarkEnd w:id="195"/>
      <w:bookmarkEnd w:id="196"/>
      <w:bookmarkEnd w:id="197"/>
      <w:bookmarkEnd w:id="198"/>
      <w:bookmarkEnd w:id="199"/>
      <w:bookmarkEnd w:id="200"/>
      <w:bookmarkEnd w:id="201"/>
      <w:bookmarkEnd w:id="202"/>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双方均应保护对方的知识产权，未经对方同意，任何一方均不得擅自修改、复制或向第三方转让从对方取得的资料及文件，也不得将上述资料或文件用于本项目以外的其他项目。</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投标方应保证其向招标方提供的文件或其他资料未侵犯第三方的专利权、商标权、</w:t>
      </w:r>
      <w:r>
        <w:rPr>
          <w:rFonts w:hint="eastAsia" w:eastAsia="宋体" w:cs="Times New Roman"/>
          <w:b w:val="0"/>
          <w:bCs w:val="0"/>
          <w:kern w:val="2"/>
          <w:sz w:val="24"/>
          <w:szCs w:val="24"/>
          <w:highlight w:val="none"/>
          <w:lang w:val="en-US" w:eastAsia="zh-CN" w:bidi="ar-SA"/>
        </w:rPr>
        <w:t>著作</w:t>
      </w:r>
      <w:r>
        <w:rPr>
          <w:rFonts w:hint="default" w:ascii="Times New Roman" w:hAnsi="Times New Roman" w:eastAsia="宋体" w:cs="Times New Roman"/>
          <w:b w:val="0"/>
          <w:bCs w:val="0"/>
          <w:kern w:val="2"/>
          <w:sz w:val="24"/>
          <w:szCs w:val="24"/>
          <w:highlight w:val="none"/>
          <w:lang w:val="en-US" w:eastAsia="zh-CN" w:bidi="ar-SA"/>
        </w:rPr>
        <w:t>等知识产权，因投标方或其代表提供或指定的文件或资料导致任何专利权、商标权、</w:t>
      </w:r>
      <w:r>
        <w:rPr>
          <w:rFonts w:hint="eastAsia" w:eastAsia="宋体" w:cs="Times New Roman"/>
          <w:b w:val="0"/>
          <w:bCs w:val="0"/>
          <w:kern w:val="2"/>
          <w:sz w:val="24"/>
          <w:szCs w:val="24"/>
          <w:highlight w:val="none"/>
          <w:lang w:val="en-US" w:eastAsia="zh-CN" w:bidi="ar-SA"/>
        </w:rPr>
        <w:t>著作或其他</w:t>
      </w:r>
      <w:r>
        <w:rPr>
          <w:rFonts w:hint="default" w:ascii="Times New Roman" w:hAnsi="Times New Roman" w:eastAsia="宋体" w:cs="Times New Roman"/>
          <w:b w:val="0"/>
          <w:bCs w:val="0"/>
          <w:kern w:val="2"/>
          <w:sz w:val="24"/>
          <w:szCs w:val="24"/>
          <w:highlight w:val="none"/>
          <w:lang w:val="en-US" w:eastAsia="zh-CN" w:bidi="ar-SA"/>
        </w:rPr>
        <w:t>知识产权受到侵犯或据称受到侵犯时，投标方应负责处理由此引起的一切事务（包括进行相关的谈判、参与索赔程序等），</w:t>
      </w:r>
      <w:r>
        <w:rPr>
          <w:rFonts w:hint="eastAsia" w:eastAsia="宋体" w:cs="Times New Roman"/>
          <w:b w:val="0"/>
          <w:bCs w:val="0"/>
          <w:kern w:val="2"/>
          <w:sz w:val="24"/>
          <w:szCs w:val="24"/>
          <w:highlight w:val="none"/>
          <w:lang w:val="en-US" w:eastAsia="zh-CN" w:bidi="ar-SA"/>
        </w:rPr>
        <w:t>承担由此产生的一切费用，</w:t>
      </w:r>
      <w:r>
        <w:rPr>
          <w:rFonts w:hint="default" w:ascii="Times New Roman" w:hAnsi="Times New Roman" w:eastAsia="宋体" w:cs="Times New Roman"/>
          <w:b w:val="0"/>
          <w:bCs w:val="0"/>
          <w:kern w:val="2"/>
          <w:sz w:val="24"/>
          <w:szCs w:val="24"/>
          <w:highlight w:val="none"/>
          <w:lang w:val="en-US" w:eastAsia="zh-CN" w:bidi="ar-SA"/>
        </w:rPr>
        <w:t>保证招标方、其雇员、管理人员和其他相关方免于遭受由此产生的任何起诉、索赔、要求、损失、费用(包括可能发生的律师费)的损害。</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因投标方提供的文件或资料侵犯第三方的专利权、商标权、</w:t>
      </w:r>
      <w:r>
        <w:rPr>
          <w:rFonts w:hint="eastAsia" w:eastAsia="宋体" w:cs="Times New Roman"/>
          <w:b w:val="0"/>
          <w:bCs w:val="0"/>
          <w:kern w:val="2"/>
          <w:sz w:val="24"/>
          <w:szCs w:val="24"/>
          <w:highlight w:val="none"/>
          <w:lang w:val="en-US" w:eastAsia="zh-CN" w:bidi="ar-SA"/>
        </w:rPr>
        <w:t>著作权</w:t>
      </w:r>
      <w:r>
        <w:rPr>
          <w:rFonts w:hint="default" w:ascii="Times New Roman" w:hAnsi="Times New Roman" w:eastAsia="宋体" w:cs="Times New Roman"/>
          <w:b w:val="0"/>
          <w:bCs w:val="0"/>
          <w:kern w:val="2"/>
          <w:sz w:val="24"/>
          <w:szCs w:val="24"/>
          <w:highlight w:val="none"/>
          <w:lang w:val="en-US" w:eastAsia="zh-CN" w:bidi="ar-SA"/>
        </w:rPr>
        <w:t>等知识产权而导致招标方遭受侵权索赔时，招标方将立即就此向投标方发出书面通知，投标方在接到招标方的书面通知后应自费并以招标方的名义处理该索赔，包括为解决此类索赔而进行谈判、仲裁或诉讼。</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如果投标方在收到招标方发出的上述通知后在规定的时间内未能通知招标方其打算处理此类索赔或未按照其承诺处理索赔，招标方可自行出面处理，由此产生的一切费用（包括招标方需承担的赔偿责任）由投标方承担。</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招标方和投标方双方保证对在讨论、签订、执行本合同过程中所获悉的属于对方的且无法自公开渠道获得的文件及资料(包括公司计划、运营活动、财务信息、技术信息、经营信息及其他商业秘密)予以保密。未经该资料和文件的原提供方同意，另一方不得向任何第三方泄露该商业秘密的全部或部分内容。但法律、法规另有规定或双方另有约定的除外。</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投标方需执行招标方所在单位的保密规定。</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bookmarkStart w:id="203" w:name="_Toc659"/>
      <w:bookmarkStart w:id="204" w:name="_Toc17785"/>
      <w:r>
        <w:rPr>
          <w:rFonts w:hint="default" w:ascii="Times New Roman" w:hAnsi="Times New Roman" w:eastAsia="宋体" w:cs="Times New Roman"/>
          <w:b w:val="0"/>
          <w:bCs w:val="0"/>
          <w:kern w:val="2"/>
          <w:sz w:val="24"/>
          <w:szCs w:val="24"/>
          <w:highlight w:val="none"/>
          <w:lang w:val="en-US" w:eastAsia="zh-CN" w:bidi="ar-SA"/>
        </w:rPr>
        <w:t>投标方</w:t>
      </w:r>
      <w:r>
        <w:rPr>
          <w:rFonts w:hint="eastAsia" w:eastAsia="宋体" w:cs="Times New Roman"/>
          <w:b w:val="0"/>
          <w:bCs w:val="0"/>
          <w:kern w:val="2"/>
          <w:sz w:val="24"/>
          <w:szCs w:val="24"/>
          <w:highlight w:val="none"/>
          <w:lang w:val="en-US" w:eastAsia="zh-CN" w:bidi="ar-SA"/>
        </w:rPr>
        <w:t>应建立</w:t>
      </w:r>
      <w:r>
        <w:rPr>
          <w:rFonts w:hint="default" w:ascii="Times New Roman" w:hAnsi="Times New Roman" w:eastAsia="宋体" w:cs="Times New Roman"/>
          <w:b w:val="0"/>
          <w:bCs w:val="0"/>
          <w:kern w:val="2"/>
          <w:sz w:val="24"/>
          <w:szCs w:val="24"/>
          <w:highlight w:val="none"/>
          <w:lang w:val="en-US" w:eastAsia="zh-CN" w:bidi="ar-SA"/>
        </w:rPr>
        <w:t>内部严格保密制度，无关人员不得接触招标方要求保密的内容。</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bookmarkStart w:id="205" w:name="_Toc19862"/>
      <w:bookmarkStart w:id="206" w:name="_Toc2844"/>
      <w:bookmarkStart w:id="207" w:name="_Toc2747"/>
      <w:bookmarkStart w:id="208" w:name="_Toc20799"/>
      <w:bookmarkStart w:id="209" w:name="_Toc6324"/>
      <w:bookmarkStart w:id="210" w:name="_Toc8966_WPSOffice_Level2"/>
      <w:bookmarkStart w:id="211" w:name="_Toc3531"/>
      <w:bookmarkStart w:id="212" w:name="_Toc6303"/>
      <w:bookmarkStart w:id="213" w:name="_Toc31419"/>
      <w:bookmarkStart w:id="214" w:name="_Toc11992_WPSOffice_Level2"/>
      <w:bookmarkStart w:id="215" w:name="_Toc30901"/>
      <w:bookmarkStart w:id="216" w:name="_Toc1190"/>
      <w:bookmarkStart w:id="217" w:name="_Toc31645_WPSOffice_Level2"/>
      <w:r>
        <w:rPr>
          <w:rFonts w:hint="default" w:ascii="Times New Roman" w:hAnsi="Times New Roman" w:eastAsia="宋体" w:cs="Times New Roman"/>
          <w:b/>
          <w:bCs/>
          <w:color w:val="auto"/>
          <w:sz w:val="24"/>
          <w:szCs w:val="24"/>
          <w:highlight w:val="none"/>
          <w:lang w:val="en-US" w:eastAsia="zh-CN"/>
        </w:rPr>
        <w:t>安全文明管理</w:t>
      </w:r>
      <w:bookmarkEnd w:id="205"/>
      <w:bookmarkEnd w:id="206"/>
      <w:bookmarkEnd w:id="207"/>
      <w:bookmarkEnd w:id="208"/>
      <w:bookmarkEnd w:id="209"/>
      <w:bookmarkEnd w:id="210"/>
      <w:bookmarkEnd w:id="211"/>
      <w:bookmarkEnd w:id="212"/>
      <w:bookmarkEnd w:id="213"/>
      <w:bookmarkEnd w:id="214"/>
      <w:bookmarkEnd w:id="215"/>
      <w:bookmarkEnd w:id="216"/>
      <w:bookmarkEnd w:id="217"/>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投标方在项目实施过程中，必须遵守国家及行业的各项安全规程、规定，并严格遵守招标方的各项安全生产管理制度，确保不发生人身及设备事故。</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投标方应加强安全教育培训，现场作业应按照相关安全规定要求进行，穿戴好必要的个体防护用具。</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由于投标方违反有关安全工作的规定、规程，造成人员伤亡和设备设施损坏事故，责任由投标方独立承担。对招标方造成的经济损失，投标方负责赔偿。</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bookmarkStart w:id="218" w:name="_Toc22298"/>
      <w:bookmarkStart w:id="219" w:name="_Toc29636"/>
      <w:bookmarkStart w:id="220" w:name="_Toc5584"/>
      <w:bookmarkStart w:id="221" w:name="_Toc30976"/>
      <w:bookmarkStart w:id="222" w:name="_Toc3457"/>
      <w:bookmarkStart w:id="223" w:name="_Toc16106"/>
      <w:bookmarkStart w:id="224" w:name="_Toc31487"/>
      <w:bookmarkStart w:id="225" w:name="_Toc1081"/>
      <w:bookmarkStart w:id="226" w:name="_Toc5745"/>
      <w:bookmarkStart w:id="227" w:name="_Toc13820"/>
      <w:r>
        <w:rPr>
          <w:rFonts w:hint="default" w:ascii="Times New Roman" w:hAnsi="Times New Roman" w:eastAsia="宋体" w:cs="Times New Roman"/>
          <w:b/>
          <w:bCs/>
          <w:color w:val="auto"/>
          <w:sz w:val="24"/>
          <w:szCs w:val="24"/>
          <w:highlight w:val="none"/>
          <w:lang w:val="en-US" w:eastAsia="zh-CN"/>
        </w:rPr>
        <w:t>其他要求</w:t>
      </w:r>
      <w:bookmarkEnd w:id="218"/>
      <w:bookmarkEnd w:id="219"/>
      <w:bookmarkEnd w:id="220"/>
      <w:bookmarkEnd w:id="221"/>
      <w:bookmarkEnd w:id="222"/>
      <w:bookmarkEnd w:id="223"/>
      <w:bookmarkEnd w:id="224"/>
      <w:bookmarkEnd w:id="225"/>
      <w:bookmarkEnd w:id="226"/>
      <w:bookmarkEnd w:id="227"/>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w:t>
      </w:r>
      <w:r>
        <w:rPr>
          <w:rFonts w:hint="eastAsia" w:ascii="Times New Roman" w:hAnsi="Times New Roman" w:eastAsia="宋体" w:cs="Times New Roman"/>
          <w:sz w:val="24"/>
          <w:szCs w:val="24"/>
          <w:lang w:val="en-US" w:eastAsia="zh-CN"/>
        </w:rPr>
        <w:t>服务</w:t>
      </w:r>
      <w:r>
        <w:rPr>
          <w:rFonts w:hint="default" w:ascii="Times New Roman" w:hAnsi="Times New Roman" w:eastAsia="宋体" w:cs="Times New Roman"/>
          <w:sz w:val="24"/>
          <w:szCs w:val="24"/>
          <w:lang w:val="en-US" w:eastAsia="zh-CN"/>
        </w:rPr>
        <w:t>项目形成的专利、技术秘密等知识产权归招标方所有。双方共同拥有使用权。如向第三方转让或许可使用项目相关知识产权，需经双方书面同意后进行。</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本服务</w:t>
      </w:r>
      <w:r>
        <w:rPr>
          <w:rFonts w:hint="default" w:ascii="Times New Roman" w:hAnsi="Times New Roman" w:eastAsia="宋体" w:cs="Times New Roman"/>
          <w:sz w:val="24"/>
          <w:szCs w:val="24"/>
          <w:lang w:val="en-US" w:eastAsia="zh-CN"/>
        </w:rPr>
        <w:t>项目研究人员</w:t>
      </w:r>
      <w:r>
        <w:rPr>
          <w:rFonts w:hint="eastAsia" w:eastAsia="宋体" w:cs="Times New Roman"/>
          <w:sz w:val="24"/>
          <w:szCs w:val="24"/>
          <w:lang w:val="en-US" w:eastAsia="zh-CN"/>
        </w:rPr>
        <w:t>应用本项目过程资料、成果</w:t>
      </w:r>
      <w:r>
        <w:rPr>
          <w:rFonts w:hint="default" w:ascii="Times New Roman" w:hAnsi="Times New Roman" w:eastAsia="宋体" w:cs="Times New Roman"/>
          <w:sz w:val="24"/>
          <w:szCs w:val="24"/>
          <w:lang w:val="en-US" w:eastAsia="zh-CN"/>
        </w:rPr>
        <w:t>发表论文、著作</w:t>
      </w:r>
      <w:r>
        <w:rPr>
          <w:rFonts w:hint="eastAsia" w:eastAsia="宋体" w:cs="Times New Roman"/>
          <w:sz w:val="24"/>
          <w:szCs w:val="24"/>
          <w:lang w:val="en-US" w:eastAsia="zh-CN"/>
        </w:rPr>
        <w:t>或形成其他知识成果的，</w:t>
      </w:r>
      <w:r>
        <w:rPr>
          <w:rFonts w:hint="default" w:ascii="Times New Roman" w:hAnsi="Times New Roman" w:eastAsia="宋体" w:cs="Times New Roman"/>
          <w:sz w:val="24"/>
          <w:szCs w:val="24"/>
          <w:lang w:val="en-US" w:eastAsia="zh-CN"/>
        </w:rPr>
        <w:t>必须得到招标方的许可。</w:t>
      </w:r>
      <w:bookmarkEnd w:id="203"/>
      <w:bookmarkEnd w:id="204"/>
      <w:bookmarkStart w:id="228" w:name="_Toc29514_WPSOffice_Level1"/>
      <w:bookmarkStart w:id="229" w:name="_Toc25868"/>
      <w:bookmarkStart w:id="230" w:name="_Toc25909"/>
      <w:bookmarkStart w:id="231" w:name="_Toc27195"/>
      <w:bookmarkStart w:id="232" w:name="_Toc2460"/>
      <w:bookmarkStart w:id="233" w:name="_Toc11265"/>
      <w:bookmarkStart w:id="234" w:name="_Toc2155"/>
      <w:bookmarkStart w:id="235" w:name="_Toc446"/>
      <w:bookmarkStart w:id="236" w:name="_Toc19736"/>
      <w:bookmarkStart w:id="237" w:name="_Toc28981"/>
      <w:bookmarkStart w:id="238" w:name="_Toc3447"/>
      <w:bookmarkStart w:id="239" w:name="_Toc11051"/>
      <w:bookmarkStart w:id="240" w:name="_Toc28445_WPSOffice_Level1"/>
      <w:bookmarkStart w:id="241" w:name="_Toc20915"/>
      <w:bookmarkStart w:id="242" w:name="_Toc21451"/>
      <w:bookmarkStart w:id="243" w:name="_Toc29272_WPSOffice_Level1"/>
      <w:bookmarkStart w:id="244" w:name="_Toc14059"/>
      <w:bookmarkStart w:id="245" w:name="_Toc9066"/>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bCs/>
          <w:sz w:val="24"/>
          <w:szCs w:val="24"/>
          <w:lang w:eastAsia="zh-CN"/>
        </w:rPr>
      </w:pPr>
      <w:bookmarkStart w:id="246" w:name="_Toc2315_WPSOffice_Level1"/>
      <w:bookmarkStart w:id="247" w:name="_Toc21091_WPSOffice_Level2"/>
      <w:bookmarkStart w:id="248" w:name="_Toc24962_WPSOffice_Level2"/>
      <w:bookmarkStart w:id="249" w:name="_Toc24327_WPSOffice_Level2"/>
      <w:bookmarkStart w:id="250" w:name="_Toc22627"/>
      <w:bookmarkStart w:id="251" w:name="_Toc10426"/>
      <w:bookmarkStart w:id="252" w:name="_Toc27479"/>
      <w:bookmarkStart w:id="253" w:name="_Toc7408"/>
      <w:bookmarkStart w:id="254" w:name="_Toc4060"/>
      <w:bookmarkStart w:id="255" w:name="_Toc16401"/>
      <w:bookmarkStart w:id="256" w:name="_Toc21264"/>
      <w:bookmarkStart w:id="257" w:name="_Toc10188"/>
      <w:bookmarkStart w:id="258" w:name="_Toc11006"/>
      <w:bookmarkStart w:id="259" w:name="_Toc20370"/>
      <w:bookmarkStart w:id="260" w:name="_Toc28618"/>
      <w:r>
        <w:rPr>
          <w:rFonts w:hint="default" w:ascii="Times New Roman" w:hAnsi="Times New Roman" w:eastAsia="宋体" w:cs="Times New Roman"/>
          <w:b/>
          <w:bCs/>
          <w:sz w:val="24"/>
          <w:szCs w:val="24"/>
          <w:lang w:eastAsia="zh-CN"/>
        </w:rPr>
        <w:t>成果文件要求</w:t>
      </w:r>
      <w:bookmarkEnd w:id="246"/>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按期、保质、保量完成本服务任务，达到合同要求。资料的组织结构清晰、逻辑性强。资料内容要正确、准确、一致、清晰完整，内容齐全、结论明确、论据充分，满足项目要求。成果文件主要包括项目可行性研究勘察报告和项目可行性研究报告，具体要求如下（包括但不限于此）。</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可行性研究勘察报告</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勘察目的、任务要求和依据的技术</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"http://www.jianshe99.com/web/zhuanyeziliao/biaozhunguifan/" \t "_blank" \o "标准"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标准</w:t>
      </w:r>
      <w:r>
        <w:rPr>
          <w:rFonts w:hint="default" w:ascii="Times New Roman" w:hAnsi="Times New Roman" w:eastAsia="宋体" w:cs="Times New Roman"/>
          <w:sz w:val="24"/>
          <w:szCs w:val="24"/>
          <w:lang w:val="en-US" w:eastAsia="zh-CN"/>
        </w:rPr>
        <w:fldChar w:fldCharType="end"/>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工程所在地区的水文气象条件；</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拟建场地及其附近地区的地质与地震背景；</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拟建场地的地形、地貌；</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区域和拟建场地的水文地质和工程地质条件；</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可能影响场地的不良地质作用的描述，对其危害程度的分析与评价；</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场地的稳定性和适宜性的评价；</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拟选场地的对比分析及相应的建议；</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工程的重点分析评价内容；</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附图表：拟建场地及其附近的地质图、地震区划图、地形地貌图、场地水文地质图、场地工程地质图、区域水文地质调查图等。</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可行性研究报告</w:t>
      </w:r>
    </w:p>
    <w:p>
      <w:pPr>
        <w:pStyle w:val="2"/>
        <w:rPr>
          <w:rFonts w:hint="default"/>
          <w:b w:val="0"/>
          <w:bCs w:val="0"/>
          <w:lang w:val="en-US" w:eastAsia="zh-CN"/>
        </w:rPr>
      </w:pPr>
      <w:r>
        <w:rPr>
          <w:rFonts w:hint="eastAsia" w:ascii="Times New Roman" w:hAnsi="Times New Roman" w:eastAsia="宋体" w:cs="Times New Roman"/>
          <w:b w:val="0"/>
          <w:bCs w:val="0"/>
          <w:color w:val="auto"/>
          <w:sz w:val="24"/>
          <w:szCs w:val="24"/>
          <w:highlight w:val="none"/>
          <w:lang w:val="en-US" w:eastAsia="zh-CN"/>
        </w:rPr>
        <w:t>按可行性研究内容深度规定，包括但不限于下列内容。</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总论</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项目背景；</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投资方及项目单位概况；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研究范围与分工；</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工作过程及工作组织；</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主要结论、存在的问题和建议。</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电力系统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国民经济和社会发展概况；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能源资源概况；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电力系统概况；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电力市场需求分析；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电力电量及调峰平衡分析；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项目建设的必要性；</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接入系统方案；</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主接线要求。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热（冷）负荷分析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供热（冷）现状及存在的问题；</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热（冷）负荷分析；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供热（冷）设计参数的确定；</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联合调度运行方式；</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lang w:val="en-US" w:eastAsia="zh-CN"/>
        </w:rPr>
        <w:t>配套供热（冷）管网建设</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燃料来源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燃料来源；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燃料品质；</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燃料消耗量；</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其他燃料需求及来源（助燃用燃料</w:t>
      </w:r>
      <w:r>
        <w:rPr>
          <w:rFonts w:hint="default" w:ascii="Times New Roman" w:hAnsi="Times New Roman" w:eastAsia="宋体" w:cs="Times New Roman"/>
          <w:sz w:val="24"/>
          <w:szCs w:val="24"/>
          <w:highlight w:val="none"/>
          <w:lang w:val="en-US" w:eastAsia="zh-CN"/>
        </w:rPr>
        <w:t>、市政污泥</w:t>
      </w:r>
      <w:r>
        <w:rPr>
          <w:rFonts w:hint="default" w:ascii="Times New Roman" w:hAnsi="Times New Roman" w:eastAsia="宋体" w:cs="Times New Roman"/>
          <w:sz w:val="24"/>
          <w:szCs w:val="24"/>
          <w:lang w:val="en-US" w:eastAsia="zh-CN"/>
        </w:rPr>
        <w:t>等）；</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厂址条件</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厂址概述；</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交通运输（煤、灰等可能的公路、铁路等交通运输）；</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水文及气象；</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贮灰场；</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地震、地质及岩土工程；</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厂址比较及推荐意见。</w:t>
      </w:r>
      <w:r>
        <w:rPr>
          <w:rFonts w:hint="eastAsia" w:eastAsia="宋体" w:cs="Times New Roman"/>
          <w:b/>
          <w:bCs/>
          <w:sz w:val="24"/>
          <w:szCs w:val="24"/>
          <w:lang w:val="en-US" w:eastAsia="zh-CN"/>
        </w:rPr>
        <w:t>根据</w:t>
      </w:r>
      <w:r>
        <w:rPr>
          <w:rFonts w:hint="default" w:ascii="Times New Roman" w:hAnsi="Times New Roman" w:eastAsia="宋体" w:cs="Times New Roman"/>
          <w:b/>
          <w:bCs/>
          <w:sz w:val="24"/>
          <w:szCs w:val="24"/>
          <w:lang w:eastAsia="zh-CN"/>
        </w:rPr>
        <w:t>《火力发电厂可行性研究报告内容深度规定》（DL/T</w:t>
      </w:r>
      <w:r>
        <w:rPr>
          <w:rFonts w:hint="default"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lang w:eastAsia="zh-CN"/>
        </w:rPr>
        <w:t>5374-2018）</w:t>
      </w:r>
      <w:r>
        <w:rPr>
          <w:rFonts w:hint="eastAsia" w:eastAsia="宋体" w:cs="Times New Roman"/>
          <w:b/>
          <w:bCs/>
          <w:sz w:val="24"/>
          <w:szCs w:val="24"/>
          <w:lang w:eastAsia="zh-CN"/>
        </w:rPr>
        <w:t>的要求，</w:t>
      </w:r>
      <w:r>
        <w:rPr>
          <w:rFonts w:hint="eastAsia" w:eastAsia="宋体" w:cs="Times New Roman"/>
          <w:b/>
          <w:bCs/>
          <w:sz w:val="24"/>
          <w:szCs w:val="24"/>
          <w:lang w:val="en-US" w:eastAsia="zh-CN"/>
        </w:rPr>
        <w:t>充分做好厂址选择的论证说明，</w:t>
      </w:r>
      <w:r>
        <w:rPr>
          <w:rFonts w:hint="eastAsia" w:eastAsia="宋体" w:cs="Times New Roman"/>
          <w:b/>
          <w:bCs/>
          <w:sz w:val="24"/>
          <w:szCs w:val="24"/>
          <w:lang w:eastAsia="zh-CN"/>
        </w:rPr>
        <w:t>进行综合技术经济比较，提出厂址的推荐意见。本项应形成专题报告</w:t>
      </w:r>
      <w:r>
        <w:rPr>
          <w:rFonts w:hint="eastAsia" w:eastAsia="宋体" w:cs="Times New Roman"/>
          <w:sz w:val="24"/>
          <w:szCs w:val="24"/>
          <w:lang w:eastAsia="zh-CN"/>
        </w:rPr>
        <w:t>。</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工程方案设想</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全厂总体规划及厂区总平面（竖向）布置；</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装机方案；</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主设备主要技术条件；</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热力系统；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燃烧制粉系统；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除尘除灰渣系统；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烟气脱硫系统；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烟气脱硝系统；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燃料输送系统；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电气系统；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电厂化学系统；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仪表与控制系统、信息系统；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主厂房布置及主辅机设备布置；</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建筑结构；</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供排水系统及冷却设施；</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lang w:val="en-US" w:eastAsia="zh-CN"/>
        </w:rPr>
        <w:t>贮灰场</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消防设施；</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供暖通风及空调系统；</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环境保护与水土保持</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自然环境和社会环境概况；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大气污染防治；</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生活污水和工业废水、含煤废水处理；</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固体废弃物处理；</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噪声污染防治；</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煤场扬尘防治；</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环境监测；</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污染物排放分析；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拟采用的大气污染物超低排放和废水零排放等新技术；</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水土保持及措施；</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环境保护与水土保持投资估算；</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综合利用</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生产过程产生的固废：灰渣、脱硫石膏、脱硝催化剂（如有）等；</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生活及工业废水处理产生的污泥；</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脱硫废水零排放处理产生的结晶盐；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其他（若有）；</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劳动安全与职业卫生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工作概况（包括安全预评价和职业病危害预评价）；</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厂址周边危险因素和自然灾害；</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生产过程可能产生的危害因素；</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劳动安全与职业卫生防护措施；</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资源利用</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项目所在地能源资源利用概况；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土地资源利用；</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水资源利用；</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其他资源利用</w:t>
      </w:r>
      <w:r>
        <w:rPr>
          <w:rFonts w:hint="eastAsia" w:eastAsia="宋体" w:cs="Times New Roman"/>
          <w:b/>
          <w:bCs/>
          <w:sz w:val="24"/>
          <w:szCs w:val="24"/>
          <w:lang w:val="en-US" w:eastAsia="zh-CN"/>
        </w:rPr>
        <w:t>（论证厂区光伏项目的可行性、方案、容量以及投资等）</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节能分析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项目能源消耗概况；</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节能降耗措施；</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节能分析及结论。</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抗灾能力评价</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地质灾害；</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洪水；</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风灾；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其他；</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人力资源配置</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项目实施的条件和建设进度及工期</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项目实施条件；</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施工组织构想；</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项目实施轮廓进度。</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投资估算、融资方案及财务分析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投资估算；</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资金来源及融资方案；</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财务分析。</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经济与社会影响分析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经济影响分析；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社会影响分析；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小结。</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市场风险分析；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技术风险分析；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工程风险分析；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资金风险分析；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政策风险分析；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外部协作风险分析；</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风险评估及应对措施和建议。</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结论与建议</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主要结论、存在的问题和建议；</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主要技术经济指标。</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可行性研究报告应具有下列附图（不限于此）：</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厂址总体规划图(1：50000)；</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电力系统现状地理接线图；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项目所在地区电力系统现状地理接线图；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推荐方案的设计水平年电力系统地理接线图；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lang w:val="en-US" w:eastAsia="zh-CN"/>
        </w:rPr>
        <w:t>各厂址总体规划图（1：10000或1: 25000）</w:t>
      </w:r>
      <w:r>
        <w:rPr>
          <w:rFonts w:hint="default" w:ascii="Times New Roman" w:hAnsi="Times New Roman" w:eastAsia="宋体" w:cs="Times New Roman"/>
          <w:sz w:val="24"/>
          <w:szCs w:val="24"/>
          <w:lang w:val="en-US" w:eastAsia="zh-CN"/>
        </w:rPr>
        <w:t>；</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厂区总平面规划布置图（1：2000）；</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厂区竖向规划布置图（1：2000）；</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原则性热力系统图；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原则性燃烧系统图；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原则性除灰渣系统图；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原则性运煤系统工艺流程图；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原则性锅炉补给水处理系统图；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原则性凝结水精处理系统图；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原则性生活污水、工业废水、含煤废水、脱硫废水处理系统图；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原则性电气主接线图；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原则性高压厂用电接线图；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全厂自动化系统规划图；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水工建筑物总布置图；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供水系统图；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全厂水量平衡图；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取水建筑物平剖面图；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排水建筑物平剖面图；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地下水源地开采布置图（如有）；</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贮灰场平面布置图（1：2000或1：5000）；</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贮灰场围堤纵横剖面图；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主厂房平面布置图；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主厂房横剖面图；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脱硫设施平面规划布置图；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原则性脱硫工艺系统图；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脱硝设施规划布置图；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原则性脱硝工艺系统图；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原则性厂区热网系统图；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施工组织设计总布置图；</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其他必要的方案布置图。</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成果文件的深度</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符合《火力发电厂可行性研究报告内容深度规定》（DL/T 5374-2018）的要求。</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成果文件的格式要求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本服务全部使用国家法定单位制，语言为中文。</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文本文件为可编辑的Word2003/Excel2003以上格式。图纸为可编辑的AutoCAD2004以上格式（含图纸中使用的所有字体文件）。</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成果文件的份数要求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可行性研究报告初稿电子版Word版和pdf版各一份，纸质图纸为可编辑的AutoCAD2004以上格式文件三份。</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可行性研究报告审查稿，纸质版</w:t>
      </w:r>
      <w:r>
        <w:rPr>
          <w:rFonts w:hint="eastAsia" w:eastAsia="宋体" w:cs="Times New Roman"/>
          <w:b w:val="0"/>
          <w:bCs w:val="0"/>
          <w:kern w:val="2"/>
          <w:sz w:val="24"/>
          <w:szCs w:val="24"/>
          <w:highlight w:val="none"/>
          <w:lang w:val="en-US" w:eastAsia="zh-CN" w:bidi="ar-SA"/>
        </w:rPr>
        <w:t>60</w:t>
      </w:r>
      <w:r>
        <w:rPr>
          <w:rFonts w:hint="default" w:ascii="Times New Roman" w:hAnsi="Times New Roman" w:eastAsia="宋体" w:cs="Times New Roman"/>
          <w:b w:val="0"/>
          <w:bCs w:val="0"/>
          <w:kern w:val="2"/>
          <w:sz w:val="24"/>
          <w:szCs w:val="24"/>
          <w:highlight w:val="none"/>
          <w:lang w:val="en-US" w:eastAsia="zh-CN" w:bidi="ar-SA"/>
        </w:rPr>
        <w:t>份，简写本</w:t>
      </w:r>
      <w:r>
        <w:rPr>
          <w:rFonts w:hint="eastAsia" w:eastAsia="宋体" w:cs="Times New Roman"/>
          <w:b w:val="0"/>
          <w:bCs w:val="0"/>
          <w:kern w:val="2"/>
          <w:sz w:val="24"/>
          <w:szCs w:val="24"/>
          <w:highlight w:val="none"/>
          <w:lang w:val="en-US" w:eastAsia="zh-CN" w:bidi="ar-SA"/>
        </w:rPr>
        <w:t>60</w:t>
      </w:r>
      <w:r>
        <w:rPr>
          <w:rFonts w:hint="default" w:ascii="Times New Roman" w:hAnsi="Times New Roman" w:eastAsia="宋体" w:cs="Times New Roman"/>
          <w:b w:val="0"/>
          <w:bCs w:val="0"/>
          <w:kern w:val="2"/>
          <w:sz w:val="24"/>
          <w:szCs w:val="24"/>
          <w:highlight w:val="none"/>
          <w:lang w:val="en-US" w:eastAsia="zh-CN" w:bidi="ar-SA"/>
        </w:rPr>
        <w:t>份及其相应的电子光盘一式二份。作为审查使用。</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可行性研究报告出版稿和收口版纸质版</w:t>
      </w:r>
      <w:r>
        <w:rPr>
          <w:rFonts w:hint="eastAsia" w:eastAsia="宋体" w:cs="Times New Roman"/>
          <w:b w:val="0"/>
          <w:bCs w:val="0"/>
          <w:kern w:val="2"/>
          <w:sz w:val="24"/>
          <w:szCs w:val="24"/>
          <w:highlight w:val="none"/>
          <w:lang w:val="en-US" w:eastAsia="zh-CN" w:bidi="ar-SA"/>
        </w:rPr>
        <w:t>10</w:t>
      </w:r>
      <w:r>
        <w:rPr>
          <w:rFonts w:hint="default" w:ascii="Times New Roman" w:hAnsi="Times New Roman" w:eastAsia="宋体" w:cs="Times New Roman"/>
          <w:b w:val="0"/>
          <w:bCs w:val="0"/>
          <w:kern w:val="2"/>
          <w:sz w:val="24"/>
          <w:szCs w:val="24"/>
          <w:highlight w:val="none"/>
          <w:lang w:val="en-US" w:eastAsia="zh-CN" w:bidi="ar-SA"/>
        </w:rPr>
        <w:t xml:space="preserve">份，及其相应的电子光盘一式二份。作为归档和报批使用。 </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成果文件的载体要求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纸质版的要求</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资料的纸质应采用80克以上白纸。</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文件、资料幅面均为80克以上的A4纸；如幅面小于此规格，可用80克白纸进行四角托裱。图纸要按《技术制图-复制图的折叠方法》（GB/T10609.3-2009）要求统一折叠，折叠成国际标准A4型（298mm×210mm），为保护图文内容，要求图纸有内容的图文区（</w:t>
      </w:r>
      <w:r>
        <w:rPr>
          <w:rFonts w:hint="eastAsia" w:eastAsia="宋体" w:cs="Times New Roman"/>
          <w:b w:val="0"/>
          <w:bCs w:val="0"/>
          <w:kern w:val="2"/>
          <w:sz w:val="24"/>
          <w:szCs w:val="24"/>
          <w:highlight w:val="none"/>
          <w:lang w:val="en-US" w:eastAsia="zh-CN" w:bidi="ar-SA"/>
        </w:rPr>
        <w:t>蓝图</w:t>
      </w:r>
      <w:r>
        <w:rPr>
          <w:rFonts w:hint="default" w:ascii="Times New Roman" w:hAnsi="Times New Roman" w:eastAsia="宋体" w:cs="Times New Roman"/>
          <w:b w:val="0"/>
          <w:bCs w:val="0"/>
          <w:kern w:val="2"/>
          <w:sz w:val="24"/>
          <w:szCs w:val="24"/>
          <w:highlight w:val="none"/>
          <w:lang w:val="en-US" w:eastAsia="zh-CN" w:bidi="ar-SA"/>
        </w:rPr>
        <w:t>面）朝里折叠，无内容面（白色面）朝外，图样折叠时标题栏外露在右下角。</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电子版的要</w:t>
      </w:r>
      <w:r>
        <w:rPr>
          <w:rFonts w:hint="default" w:ascii="Times New Roman" w:hAnsi="Times New Roman" w:eastAsia="宋体" w:cs="Times New Roman"/>
          <w:b w:val="0"/>
          <w:bCs w:val="0"/>
          <w:color w:val="auto"/>
          <w:kern w:val="2"/>
          <w:sz w:val="24"/>
          <w:szCs w:val="24"/>
          <w:highlight w:val="none"/>
          <w:lang w:val="en-US" w:eastAsia="zh-CN" w:bidi="ar-SA"/>
        </w:rPr>
        <w:t>求</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电子版说明书必须保证文档的完整性，不可直接截取所需部分文档，文档必须与纸质版文档完全一致；</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电子版资料必须包括所有可行性研究阶段的全部文件。</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载体其他要求</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文本厚度可为20、30、40三种规格，装订厚度超过40mm的应另组分册。</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归档资料应字迹清楚，图样清晰，图表整洁，签字认可手续完备，归档资料、文件需盖章及签名各项不得有空缺。</w:t>
      </w:r>
    </w:p>
    <w:p>
      <w:pPr>
        <w:keepNext w:val="0"/>
        <w:keepLines w:val="0"/>
        <w:pageBreakBefore w:val="0"/>
        <w:widowControl w:val="0"/>
        <w:numPr>
          <w:ilvl w:val="3"/>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需永久、长期保存的文件不应用易褪色的书写材料（红色墨水、纯蓝墨水、圆珠笔、复写纸、铅笔等）书写、绘制，须采用黑碳素墨水书写。</w:t>
      </w:r>
    </w:p>
    <w:bookmarkEnd w:id="244"/>
    <w:bookmarkEnd w:id="245"/>
    <w:bookmarkEnd w:id="247"/>
    <w:bookmarkEnd w:id="248"/>
    <w:bookmarkEnd w:id="249"/>
    <w:bookmarkEnd w:id="250"/>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成果文件的其他要求</w:t>
      </w:r>
      <w:bookmarkEnd w:id="251"/>
      <w:bookmarkEnd w:id="252"/>
      <w:bookmarkEnd w:id="253"/>
      <w:bookmarkEnd w:id="254"/>
      <w:bookmarkEnd w:id="255"/>
      <w:bookmarkEnd w:id="256"/>
      <w:bookmarkEnd w:id="257"/>
      <w:bookmarkEnd w:id="258"/>
      <w:bookmarkEnd w:id="259"/>
      <w:bookmarkEnd w:id="260"/>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投标方及时、充分提交相应数量的，满足国家及行业有关规定的，符合本服务内容、深度和要求的资料，以满足项目进度要求。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所有资料均需投标方专业技术人员及单位签字盖章确认。</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投标方在服务工作完成后，应按要求提供正式资料用于招标方归档。</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投标方编制的可行性研究报告应能满足项目初步设计、实施的要求。</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cs="Times New Roman"/>
          <w:sz w:val="24"/>
          <w:szCs w:val="24"/>
        </w:rPr>
      </w:pPr>
      <w:r>
        <w:rPr>
          <w:rFonts w:hint="default" w:ascii="Times New Roman" w:hAnsi="Times New Roman" w:eastAsia="宋体" w:cs="Times New Roman"/>
          <w:b w:val="0"/>
          <w:bCs w:val="0"/>
          <w:kern w:val="2"/>
          <w:sz w:val="24"/>
          <w:szCs w:val="24"/>
          <w:highlight w:val="none"/>
          <w:lang w:val="en-US" w:eastAsia="zh-CN" w:bidi="ar-SA"/>
        </w:rPr>
        <w:t>在可行性研究工作期间，由于政策性变化导致需对工作成果进行修改，投标方应进行配合。</w:t>
      </w:r>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bCs/>
          <w:sz w:val="24"/>
          <w:szCs w:val="24"/>
          <w:lang w:eastAsia="zh-CN"/>
        </w:rPr>
      </w:pPr>
      <w:bookmarkStart w:id="261" w:name="_Toc4170"/>
      <w:bookmarkStart w:id="262" w:name="_Toc430332134"/>
      <w:bookmarkStart w:id="263" w:name="_Toc30230"/>
      <w:bookmarkStart w:id="264" w:name="_Toc3449"/>
      <w:bookmarkStart w:id="265" w:name="_Toc20526"/>
      <w:bookmarkStart w:id="266" w:name="_Toc31224_WPSOffice_Level1"/>
      <w:bookmarkStart w:id="267" w:name="_Toc29583"/>
      <w:bookmarkStart w:id="268" w:name="_Toc17677"/>
      <w:r>
        <w:rPr>
          <w:rFonts w:hint="default" w:ascii="Times New Roman" w:hAnsi="Times New Roman" w:eastAsia="宋体" w:cs="Times New Roman"/>
          <w:b/>
          <w:bCs/>
          <w:sz w:val="24"/>
          <w:szCs w:val="24"/>
          <w:lang w:eastAsia="zh-CN"/>
        </w:rPr>
        <w:t>双方的责任和义务</w:t>
      </w:r>
      <w:bookmarkEnd w:id="261"/>
      <w:bookmarkEnd w:id="262"/>
      <w:bookmarkEnd w:id="263"/>
      <w:bookmarkEnd w:id="264"/>
      <w:bookmarkEnd w:id="265"/>
      <w:bookmarkEnd w:id="266"/>
      <w:bookmarkEnd w:id="267"/>
      <w:bookmarkEnd w:id="268"/>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bookmarkStart w:id="269" w:name="_Toc150618687"/>
      <w:bookmarkStart w:id="270" w:name="_Toc284163112"/>
      <w:r>
        <w:rPr>
          <w:rFonts w:hint="default" w:ascii="Times New Roman" w:hAnsi="Times New Roman" w:eastAsia="宋体" w:cs="Times New Roman"/>
          <w:b/>
          <w:bCs/>
          <w:color w:val="auto"/>
          <w:sz w:val="24"/>
          <w:szCs w:val="24"/>
          <w:highlight w:val="none"/>
          <w:lang w:val="en-US" w:eastAsia="zh-CN"/>
        </w:rPr>
        <w:t>招标方的责任和义务</w:t>
      </w:r>
      <w:bookmarkEnd w:id="269"/>
      <w:bookmarkEnd w:id="270"/>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负责安排、提供配合的管理人员。</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配合必要的外出调研等工作。</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负责对投标方提交的技术文件进行审查和认可。</w:t>
      </w:r>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bookmarkStart w:id="271" w:name="_Toc284163113"/>
      <w:bookmarkStart w:id="272" w:name="_Toc150618688"/>
      <w:r>
        <w:rPr>
          <w:rFonts w:hint="default" w:ascii="Times New Roman" w:hAnsi="Times New Roman" w:eastAsia="宋体" w:cs="Times New Roman"/>
          <w:b/>
          <w:bCs/>
          <w:color w:val="auto"/>
          <w:sz w:val="24"/>
          <w:szCs w:val="24"/>
          <w:highlight w:val="none"/>
          <w:lang w:val="en-US" w:eastAsia="zh-CN"/>
        </w:rPr>
        <w:t>投标方的责任和义务</w:t>
      </w:r>
      <w:bookmarkEnd w:id="271"/>
      <w:bookmarkEnd w:id="272"/>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自备与本次可研服务相关的规范标准、图集等。</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自备办公设备：如电脑、软件、投影、打印机、复印机、照相机等。</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自行负责交通出行，以及自备必要的出行车辆等。</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自备现场办公设施（如需要）。</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eastAsia="宋体" w:cs="Times New Roman"/>
          <w:b w:val="0"/>
          <w:bCs w:val="0"/>
          <w:kern w:val="2"/>
          <w:sz w:val="24"/>
          <w:szCs w:val="24"/>
          <w:highlight w:val="none"/>
          <w:lang w:val="en-US" w:eastAsia="zh-CN" w:bidi="ar-SA"/>
        </w:rPr>
        <w:t>自备现场工作的安全设施。</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完成可研数据测试和资料收集</w:t>
      </w:r>
      <w:r>
        <w:rPr>
          <w:rFonts w:hint="eastAsia" w:ascii="Times New Roman" w:hAnsi="Times New Roman" w:eastAsia="宋体" w:cs="Times New Roman"/>
          <w:b w:val="0"/>
          <w:bCs w:val="0"/>
          <w:kern w:val="2"/>
          <w:sz w:val="24"/>
          <w:szCs w:val="24"/>
          <w:highlight w:val="none"/>
          <w:lang w:val="en-US" w:eastAsia="zh-CN" w:bidi="ar-SA"/>
        </w:rPr>
        <w:t>。</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 xml:space="preserve">完成可研报告的编写并出版。 </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组织考察类似工程。</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按照招标方工期进度要求按时完成可研评审报告及配合完成审查工作。</w:t>
      </w:r>
    </w:p>
    <w:p>
      <w:pPr>
        <w:keepNext w:val="0"/>
        <w:keepLines w:val="0"/>
        <w:pageBreakBefore w:val="0"/>
        <w:widowControl w:val="0"/>
        <w:numPr>
          <w:ilvl w:val="2"/>
          <w:numId w:val="1"/>
        </w:numPr>
        <w:tabs>
          <w:tab w:val="left" w:pos="840"/>
        </w:tabs>
        <w:kinsoku/>
        <w:wordWrap w:val="0"/>
        <w:overflowPunct/>
        <w:topLinePunct/>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本技术规范书要求的其他内容。</w:t>
      </w:r>
    </w:p>
    <w:p>
      <w:pPr>
        <w:keepNext w:val="0"/>
        <w:keepLines w:val="0"/>
        <w:pageBreakBefore w:val="0"/>
        <w:widowControl w:val="0"/>
        <w:numPr>
          <w:ilvl w:val="0"/>
          <w:numId w:val="1"/>
        </w:numPr>
        <w:tabs>
          <w:tab w:val="left" w:pos="426"/>
        </w:tabs>
        <w:kinsoku/>
        <w:wordWrap w:val="0"/>
        <w:overflowPunct/>
        <w:topLinePunct/>
        <w:autoSpaceDE/>
        <w:autoSpaceDN/>
        <w:bidi w:val="0"/>
        <w:adjustRightInd/>
        <w:snapToGrid/>
        <w:spacing w:line="360" w:lineRule="auto"/>
        <w:ind w:left="0" w:firstLine="0" w:firstLineChars="0"/>
        <w:textAlignment w:val="auto"/>
        <w:outlineLvl w:val="1"/>
        <w:rPr>
          <w:rFonts w:hint="default" w:ascii="Times New Roman" w:hAnsi="Times New Roman" w:eastAsia="宋体" w:cs="Times New Roman"/>
          <w:b/>
          <w:bCs/>
          <w:sz w:val="24"/>
          <w:szCs w:val="24"/>
          <w:lang w:val="en-US" w:eastAsia="zh-CN"/>
        </w:rPr>
      </w:pPr>
      <w:bookmarkStart w:id="273" w:name="_Toc24187_WPSOffice_Level1"/>
      <w:r>
        <w:rPr>
          <w:rFonts w:hint="default" w:ascii="Times New Roman" w:hAnsi="Times New Roman" w:eastAsia="宋体" w:cs="Times New Roman"/>
          <w:b/>
          <w:bCs/>
          <w:sz w:val="24"/>
          <w:szCs w:val="24"/>
          <w:lang w:val="en-US" w:eastAsia="zh-CN"/>
        </w:rPr>
        <w:t>技术差异表</w:t>
      </w:r>
      <w:bookmarkEnd w:id="273"/>
    </w:p>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投标方应将投标文件和招标文件的技术差异之处汇集成表，格式如表</w:t>
      </w:r>
      <w:r>
        <w:rPr>
          <w:rFonts w:hint="eastAsia" w:ascii="Times New Roman" w:hAnsi="Times New Roman" w:eastAsia="宋体" w:cs="Times New Roman"/>
          <w:b/>
          <w:bCs/>
          <w:color w:val="auto"/>
          <w:sz w:val="24"/>
          <w:szCs w:val="24"/>
          <w:highlight w:val="none"/>
          <w:lang w:val="en-US" w:eastAsia="zh-CN"/>
        </w:rPr>
        <w:t>7-1</w:t>
      </w:r>
      <w:r>
        <w:rPr>
          <w:rFonts w:hint="default" w:ascii="Times New Roman" w:hAnsi="Times New Roman" w:eastAsia="宋体" w:cs="Times New Roman"/>
          <w:b/>
          <w:bCs/>
          <w:color w:val="auto"/>
          <w:sz w:val="24"/>
          <w:szCs w:val="24"/>
          <w:highlight w:val="none"/>
          <w:lang w:val="en-US" w:eastAsia="zh-CN"/>
        </w:rPr>
        <w:t>所示。投标文件对招标文件未提出异议的条款，均被视为接受和同意。投标文件与招标文件有差异之处，无论多么微小，均应按招标文件格式要求统一汇总说明</w:t>
      </w:r>
      <w:r>
        <w:rPr>
          <w:rFonts w:hint="eastAsia" w:eastAsia="宋体" w:cs="Times New Roman"/>
          <w:b/>
          <w:bCs/>
          <w:color w:val="auto"/>
          <w:sz w:val="24"/>
          <w:szCs w:val="24"/>
          <w:highlight w:val="none"/>
          <w:lang w:val="en-US" w:eastAsia="zh-CN"/>
        </w:rPr>
        <w:t>。</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20" w:firstLineChars="200"/>
        <w:jc w:val="center"/>
        <w:textAlignment w:val="auto"/>
        <w:outlineLvl w:val="9"/>
        <w:rPr>
          <w:rFonts w:hint="default" w:ascii="Times New Roman" w:hAnsi="Times New Roman" w:eastAsia="宋体" w:cs="Times New Roman"/>
          <w:sz w:val="21"/>
          <w:szCs w:val="21"/>
          <w:lang w:val="en-US" w:eastAsia="zh-CN"/>
        </w:rPr>
      </w:pPr>
      <w:bookmarkStart w:id="274" w:name="_Toc17091_WPSOffice_Level1"/>
      <w:bookmarkStart w:id="275" w:name="_Toc9628_WPSOffice_Level1"/>
      <w:bookmarkStart w:id="276" w:name="_Toc22724_WPSOffice_Level1"/>
      <w:r>
        <w:rPr>
          <w:rFonts w:hint="default" w:ascii="Times New Roman" w:hAnsi="Times New Roman" w:eastAsia="宋体" w:cs="Times New Roman"/>
          <w:sz w:val="21"/>
          <w:szCs w:val="21"/>
          <w:lang w:val="en-US" w:eastAsia="zh-CN"/>
        </w:rPr>
        <w:t>表7-1  技术差异表</w:t>
      </w:r>
      <w:bookmarkEnd w:id="274"/>
      <w:bookmarkEnd w:id="275"/>
      <w:bookmarkEnd w:id="276"/>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3"/>
        <w:gridCol w:w="1353"/>
        <w:gridCol w:w="2031"/>
        <w:gridCol w:w="1532"/>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7" w:hRule="atLeast"/>
        </w:trPr>
        <w:tc>
          <w:tcPr>
            <w:tcW w:w="813" w:type="dxa"/>
            <w:vMerge w:val="restart"/>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序号</w:t>
            </w:r>
          </w:p>
        </w:tc>
        <w:tc>
          <w:tcPr>
            <w:tcW w:w="3384" w:type="dxa"/>
            <w:gridSpan w:val="2"/>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招标文件</w:t>
            </w:r>
          </w:p>
        </w:tc>
        <w:tc>
          <w:tcPr>
            <w:tcW w:w="4166" w:type="dxa"/>
            <w:gridSpan w:val="2"/>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7" w:hRule="atLeast"/>
        </w:trPr>
        <w:tc>
          <w:tcPr>
            <w:tcW w:w="813" w:type="dxa"/>
            <w:vMerge w:val="continue"/>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条目</w:t>
            </w: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简要内容</w:t>
            </w: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条目</w:t>
            </w: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7" w:hRule="atLeast"/>
        </w:trPr>
        <w:tc>
          <w:tcPr>
            <w:tcW w:w="81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1</w:t>
            </w: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7" w:hRule="atLeast"/>
        </w:trPr>
        <w:tc>
          <w:tcPr>
            <w:tcW w:w="81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w:t>
            </w: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7" w:hRule="atLeast"/>
        </w:trPr>
        <w:tc>
          <w:tcPr>
            <w:tcW w:w="81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w:t>
            </w: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7" w:hRule="atLeast"/>
        </w:trPr>
        <w:tc>
          <w:tcPr>
            <w:tcW w:w="81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7" w:hRule="atLeast"/>
        </w:trPr>
        <w:tc>
          <w:tcPr>
            <w:tcW w:w="81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jc w:val="center"/>
              <w:textAlignment w:val="auto"/>
              <w:outlineLvl w:val="1"/>
              <w:rPr>
                <w:rFonts w:hint="default" w:ascii="Times New Roman" w:hAnsi="Times New Roman" w:eastAsia="宋体" w:cs="Times New Roman"/>
                <w:b w:val="0"/>
                <w:bCs w:val="0"/>
                <w:sz w:val="21"/>
                <w:szCs w:val="21"/>
                <w:lang w:val="en-US" w:eastAsia="zh-CN"/>
              </w:rPr>
            </w:pPr>
          </w:p>
        </w:tc>
        <w:tc>
          <w:tcPr>
            <w:tcW w:w="1353"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031"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1532"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c>
          <w:tcPr>
            <w:tcW w:w="2634" w:type="dxa"/>
            <w:noWrap w:val="0"/>
            <w:vAlign w:val="center"/>
          </w:tcPr>
          <w:p>
            <w:pPr>
              <w:keepNext w:val="0"/>
              <w:keepLines w:val="0"/>
              <w:pageBreakBefore w:val="0"/>
              <w:widowControl w:val="0"/>
              <w:numPr>
                <w:ilvl w:val="0"/>
                <w:numId w:val="0"/>
              </w:numPr>
              <w:tabs>
                <w:tab w:val="left" w:pos="426"/>
              </w:tabs>
              <w:kinsoku/>
              <w:wordWrap w:val="0"/>
              <w:overflowPunct/>
              <w:topLinePunct/>
              <w:autoSpaceDE/>
              <w:autoSpaceDN/>
              <w:bidi w:val="0"/>
              <w:adjustRightInd/>
              <w:snapToGrid/>
              <w:spacing w:line="360" w:lineRule="auto"/>
              <w:ind w:leftChars="0"/>
              <w:textAlignment w:val="auto"/>
              <w:outlineLvl w:val="1"/>
              <w:rPr>
                <w:rFonts w:hint="default" w:ascii="Times New Roman" w:hAnsi="Times New Roman" w:eastAsia="宋体" w:cs="Times New Roman"/>
                <w:b w:val="0"/>
                <w:bCs w:val="0"/>
                <w:sz w:val="21"/>
                <w:szCs w:val="21"/>
                <w:lang w:val="en-US" w:eastAsia="zh-CN"/>
              </w:rPr>
            </w:pPr>
          </w:p>
        </w:tc>
      </w:tr>
    </w:tbl>
    <w:p>
      <w:pPr>
        <w:keepNext w:val="0"/>
        <w:keepLines w:val="0"/>
        <w:pageBreakBefore w:val="0"/>
        <w:widowControl w:val="0"/>
        <w:numPr>
          <w:ilvl w:val="1"/>
          <w:numId w:val="1"/>
        </w:numPr>
        <w:kinsoku/>
        <w:wordWrap w:val="0"/>
        <w:overflowPunct/>
        <w:topLinePunct/>
        <w:autoSpaceDE/>
        <w:autoSpaceDN/>
        <w:bidi w:val="0"/>
        <w:adjustRightInd/>
        <w:snapToGrid/>
        <w:spacing w:line="360" w:lineRule="auto"/>
        <w:ind w:left="0" w:firstLine="0" w:firstLineChars="0"/>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sz w:val="24"/>
          <w:szCs w:val="24"/>
        </w:rPr>
        <w:t>对于投标人提出的上述差异，如存在重大偏离，导致招标人无法承受，则有可能导致其投标被否决</w:t>
      </w:r>
      <w:r>
        <w:rPr>
          <w:rFonts w:hint="eastAsia" w:eastAsia="宋体" w:cs="Times New Roman"/>
          <w:b/>
          <w:bCs/>
          <w:color w:val="auto"/>
          <w:sz w:val="24"/>
          <w:szCs w:val="24"/>
          <w:highlight w:val="none"/>
          <w:lang w:val="en-US" w:eastAsia="zh-CN"/>
        </w:rPr>
        <w:t>。</w:t>
      </w:r>
    </w:p>
    <w:p>
      <w:pPr>
        <w:keepNext w:val="0"/>
        <w:keepLines w:val="0"/>
        <w:pageBreakBefore w:val="0"/>
        <w:widowControl w:val="0"/>
        <w:numPr>
          <w:ilvl w:val="0"/>
          <w:numId w:val="0"/>
        </w:numPr>
        <w:tabs>
          <w:tab w:val="left" w:pos="840"/>
        </w:tabs>
        <w:kinsoku/>
        <w:wordWrap w:val="0"/>
        <w:overflowPunct/>
        <w:topLinePunct/>
        <w:autoSpaceDE/>
        <w:autoSpaceDN/>
        <w:bidi w:val="0"/>
        <w:adjustRightInd/>
        <w:snapToGrid/>
        <w:spacing w:line="360" w:lineRule="auto"/>
        <w:ind w:leftChars="0"/>
        <w:textAlignment w:val="auto"/>
        <w:rPr>
          <w:rFonts w:hint="default" w:ascii="Times New Roman" w:hAnsi="Times New Roman" w:eastAsia="宋体" w:cs="Times New Roman"/>
          <w:sz w:val="24"/>
          <w:szCs w:val="24"/>
        </w:rPr>
      </w:pPr>
    </w:p>
    <w:sectPr>
      <w:headerReference r:id="rId5" w:type="default"/>
      <w:footerReference r:id="rId6"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ind w:firstLine="360"/>
                            <w:rPr>
                              <w:rFonts w:hint="eastAsia" w:eastAsia="仿宋_GB2312"/>
                              <w:sz w:val="21"/>
                              <w:szCs w:val="21"/>
                              <w:lang w:eastAsia="zh-CN"/>
                            </w:rPr>
                          </w:pPr>
                          <w:r>
                            <w:rPr>
                              <w:rFonts w:hint="eastAsia"/>
                              <w:sz w:val="21"/>
                              <w:szCs w:val="21"/>
                              <w:lang w:eastAsia="zh-CN"/>
                            </w:rPr>
                            <w:t xml:space="preserve">— </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2</w:t>
                          </w:r>
                          <w:r>
                            <w:rPr>
                              <w:rFonts w:hint="eastAsia"/>
                              <w:sz w:val="21"/>
                              <w:szCs w:val="21"/>
                              <w:lang w:eastAsia="zh-CN"/>
                            </w:rPr>
                            <w:fldChar w:fldCharType="end"/>
                          </w:r>
                          <w:r>
                            <w:rPr>
                              <w:rFonts w:hint="eastAsia"/>
                              <w:sz w:val="21"/>
                              <w:szCs w:val="21"/>
                              <w:lang w:eastAsia="zh-CN"/>
                            </w:rPr>
                            <w:t xml:space="preserve"> —</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v:fill on="f" focussize="0,0"/>
              <v:stroke on="f"/>
              <v:imagedata o:title=""/>
              <o:lock v:ext="edit" aspectratio="f"/>
              <v:textbox inset="0mm,0mm,0mm,0mm" style="mso-fit-shape-to-text:t;">
                <w:txbxContent>
                  <w:p>
                    <w:pPr>
                      <w:pStyle w:val="8"/>
                      <w:ind w:firstLine="360"/>
                      <w:rPr>
                        <w:rFonts w:hint="eastAsia" w:eastAsia="仿宋_GB2312"/>
                        <w:sz w:val="21"/>
                        <w:szCs w:val="21"/>
                        <w:lang w:eastAsia="zh-CN"/>
                      </w:rPr>
                    </w:pPr>
                    <w:r>
                      <w:rPr>
                        <w:rFonts w:hint="eastAsia"/>
                        <w:sz w:val="21"/>
                        <w:szCs w:val="21"/>
                        <w:lang w:eastAsia="zh-CN"/>
                      </w:rPr>
                      <w:t xml:space="preserve">— </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2</w:t>
                    </w:r>
                    <w:r>
                      <w:rPr>
                        <w:rFonts w:hint="eastAsia"/>
                        <w:sz w:val="21"/>
                        <w:szCs w:val="21"/>
                        <w:lang w:eastAsia="zh-CN"/>
                      </w:rPr>
                      <w:fldChar w:fldCharType="end"/>
                    </w:r>
                    <w:r>
                      <w:rPr>
                        <w:rFonts w:hint="eastAsia"/>
                        <w:sz w:val="21"/>
                        <w:szCs w:val="21"/>
                        <w:lang w:eastAsia="zh-CN"/>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ind w:firstLine="360"/>
                            <w:rPr>
                              <w:rFonts w:hint="eastAsia"/>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IpoaUsQEA&#10;AE4DAAAOAAAAAAAAAAEAIAAAAB4BAABkcnMvZTJvRG9jLnhtbFBLBQYAAAAABgAGAFkBAABBBQAA&#10;AAA=&#10;">
              <v:fill on="f" focussize="0,0"/>
              <v:stroke on="f"/>
              <v:imagedata o:title=""/>
              <o:lock v:ext="edit" aspectratio="f"/>
              <v:textbox inset="0mm,0mm,0mm,0mm" style="mso-fit-shape-to-text:t;">
                <w:txbxContent>
                  <w:p>
                    <w:pPr>
                      <w:pStyle w:val="8"/>
                      <w:ind w:firstLine="360"/>
                      <w:rPr>
                        <w:rFonts w:hint="eastAsia"/>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6EBE7"/>
    <w:multiLevelType w:val="singleLevel"/>
    <w:tmpl w:val="A346EBE7"/>
    <w:lvl w:ilvl="0" w:tentative="0">
      <w:start w:val="1"/>
      <w:numFmt w:val="decimal"/>
      <w:suff w:val="nothing"/>
      <w:lvlText w:val="（%1）"/>
      <w:lvlJc w:val="left"/>
      <w:rPr>
        <w:rFonts w:hint="default"/>
        <w:sz w:val="24"/>
        <w:szCs w:val="24"/>
      </w:rPr>
    </w:lvl>
  </w:abstractNum>
  <w:abstractNum w:abstractNumId="1">
    <w:nsid w:val="ED9413B2"/>
    <w:multiLevelType w:val="singleLevel"/>
    <w:tmpl w:val="ED9413B2"/>
    <w:lvl w:ilvl="0" w:tentative="0">
      <w:start w:val="1"/>
      <w:numFmt w:val="decimal"/>
      <w:suff w:val="nothing"/>
      <w:lvlText w:val="（%1）"/>
      <w:lvlJc w:val="left"/>
      <w:rPr>
        <w:rFonts w:hint="default"/>
        <w:sz w:val="24"/>
        <w:szCs w:val="24"/>
      </w:rPr>
    </w:lvl>
  </w:abstractNum>
  <w:abstractNum w:abstractNumId="2">
    <w:nsid w:val="00000007"/>
    <w:multiLevelType w:val="multilevel"/>
    <w:tmpl w:val="00000007"/>
    <w:lvl w:ilvl="0" w:tentative="0">
      <w:start w:val="1"/>
      <w:numFmt w:val="decimal"/>
      <w:lvlText w:val="%1"/>
      <w:lvlJc w:val="left"/>
      <w:pPr>
        <w:ind w:left="425" w:hanging="425"/>
      </w:pPr>
      <w:rPr>
        <w:rFonts w:hint="default"/>
        <w:b/>
        <w:sz w:val="24"/>
        <w:szCs w:val="24"/>
      </w:rPr>
    </w:lvl>
    <w:lvl w:ilvl="1" w:tentative="0">
      <w:start w:val="1"/>
      <w:numFmt w:val="decimal"/>
      <w:lvlText w:val="%1.%2"/>
      <w:lvlJc w:val="left"/>
      <w:pPr>
        <w:tabs>
          <w:tab w:val="left" w:pos="510"/>
        </w:tabs>
        <w:ind w:left="510" w:hanging="510"/>
      </w:pPr>
      <w:rPr>
        <w:rFonts w:hint="default"/>
        <w:b/>
        <w:bCs w:val="0"/>
        <w:sz w:val="24"/>
        <w:szCs w:val="24"/>
      </w:rPr>
    </w:lvl>
    <w:lvl w:ilvl="2" w:tentative="0">
      <w:start w:val="1"/>
      <w:numFmt w:val="decimal"/>
      <w:lvlText w:val="%1.%2.%3"/>
      <w:lvlJc w:val="left"/>
      <w:pPr>
        <w:ind w:left="1418" w:hanging="567"/>
      </w:pPr>
      <w:rPr>
        <w:rFonts w:hint="eastAsia"/>
        <w:sz w:val="24"/>
        <w:szCs w:val="24"/>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zYzExM2MzMTFlOTg2NzlmOWY1NDdlMTk2NDk5ODgifQ=="/>
  </w:docVars>
  <w:rsids>
    <w:rsidRoot w:val="001A1129"/>
    <w:rsid w:val="00094DED"/>
    <w:rsid w:val="001A1129"/>
    <w:rsid w:val="00260F00"/>
    <w:rsid w:val="00497A4B"/>
    <w:rsid w:val="004C7C1E"/>
    <w:rsid w:val="004D529A"/>
    <w:rsid w:val="00546113"/>
    <w:rsid w:val="005D5841"/>
    <w:rsid w:val="005F37F5"/>
    <w:rsid w:val="007A6ED3"/>
    <w:rsid w:val="008614B1"/>
    <w:rsid w:val="00865BF1"/>
    <w:rsid w:val="00A91747"/>
    <w:rsid w:val="00AB3CF5"/>
    <w:rsid w:val="00C50356"/>
    <w:rsid w:val="00CA3B9F"/>
    <w:rsid w:val="00DF2CF3"/>
    <w:rsid w:val="00EA40CC"/>
    <w:rsid w:val="00FC26D6"/>
    <w:rsid w:val="00FF0186"/>
    <w:rsid w:val="01D517BC"/>
    <w:rsid w:val="020E0991"/>
    <w:rsid w:val="02412B0B"/>
    <w:rsid w:val="02B222A4"/>
    <w:rsid w:val="02BD22CF"/>
    <w:rsid w:val="042D3158"/>
    <w:rsid w:val="04490CEB"/>
    <w:rsid w:val="04787785"/>
    <w:rsid w:val="047D3491"/>
    <w:rsid w:val="048C7F3C"/>
    <w:rsid w:val="04D84005"/>
    <w:rsid w:val="04FF458C"/>
    <w:rsid w:val="050E0CF9"/>
    <w:rsid w:val="057C77A1"/>
    <w:rsid w:val="06160E91"/>
    <w:rsid w:val="06730ED9"/>
    <w:rsid w:val="06DB1903"/>
    <w:rsid w:val="07064987"/>
    <w:rsid w:val="07322079"/>
    <w:rsid w:val="0764295D"/>
    <w:rsid w:val="07F2292F"/>
    <w:rsid w:val="08AD68A5"/>
    <w:rsid w:val="09556384"/>
    <w:rsid w:val="0973419F"/>
    <w:rsid w:val="0CBA2E43"/>
    <w:rsid w:val="0CD501CE"/>
    <w:rsid w:val="0D7C44E3"/>
    <w:rsid w:val="0DA213DD"/>
    <w:rsid w:val="0DED6E12"/>
    <w:rsid w:val="0E4B1B8E"/>
    <w:rsid w:val="0E68162E"/>
    <w:rsid w:val="0EB03ADF"/>
    <w:rsid w:val="0FF41AC5"/>
    <w:rsid w:val="11655E3A"/>
    <w:rsid w:val="11683DDC"/>
    <w:rsid w:val="120A5D85"/>
    <w:rsid w:val="122140C8"/>
    <w:rsid w:val="12A1466B"/>
    <w:rsid w:val="12EB0868"/>
    <w:rsid w:val="13A94765"/>
    <w:rsid w:val="13F019E6"/>
    <w:rsid w:val="13F844A3"/>
    <w:rsid w:val="14047D7D"/>
    <w:rsid w:val="14736316"/>
    <w:rsid w:val="1585656B"/>
    <w:rsid w:val="166C2956"/>
    <w:rsid w:val="16DB726D"/>
    <w:rsid w:val="1849568E"/>
    <w:rsid w:val="18604902"/>
    <w:rsid w:val="19FD48C3"/>
    <w:rsid w:val="1B1B31A4"/>
    <w:rsid w:val="1B6B0928"/>
    <w:rsid w:val="1B7F18B0"/>
    <w:rsid w:val="1D33729C"/>
    <w:rsid w:val="1E502E58"/>
    <w:rsid w:val="1E721AA1"/>
    <w:rsid w:val="1F5125AF"/>
    <w:rsid w:val="1FC20573"/>
    <w:rsid w:val="20366B9B"/>
    <w:rsid w:val="20CA5564"/>
    <w:rsid w:val="20DF053F"/>
    <w:rsid w:val="21570CCA"/>
    <w:rsid w:val="216E77F0"/>
    <w:rsid w:val="217C35E6"/>
    <w:rsid w:val="217C4531"/>
    <w:rsid w:val="219C1A17"/>
    <w:rsid w:val="23237336"/>
    <w:rsid w:val="237B782E"/>
    <w:rsid w:val="23D96255"/>
    <w:rsid w:val="247602C5"/>
    <w:rsid w:val="256D0FDA"/>
    <w:rsid w:val="25825766"/>
    <w:rsid w:val="2638512F"/>
    <w:rsid w:val="26BD3D3F"/>
    <w:rsid w:val="27432AAD"/>
    <w:rsid w:val="27B44AF9"/>
    <w:rsid w:val="27EF51A7"/>
    <w:rsid w:val="28EA62E4"/>
    <w:rsid w:val="295366CE"/>
    <w:rsid w:val="2A2460BE"/>
    <w:rsid w:val="2A625073"/>
    <w:rsid w:val="2A845264"/>
    <w:rsid w:val="2ADE3D45"/>
    <w:rsid w:val="2C135066"/>
    <w:rsid w:val="2C680BA0"/>
    <w:rsid w:val="2DCE5FEE"/>
    <w:rsid w:val="2DDD3519"/>
    <w:rsid w:val="2E1954EC"/>
    <w:rsid w:val="2E1C69DB"/>
    <w:rsid w:val="2F0D2FB9"/>
    <w:rsid w:val="2F4C59EB"/>
    <w:rsid w:val="304D1561"/>
    <w:rsid w:val="309F7212"/>
    <w:rsid w:val="30DD2171"/>
    <w:rsid w:val="315F620C"/>
    <w:rsid w:val="31670C9B"/>
    <w:rsid w:val="31B004E1"/>
    <w:rsid w:val="31F26241"/>
    <w:rsid w:val="328A375B"/>
    <w:rsid w:val="32BF4BC4"/>
    <w:rsid w:val="32FB328D"/>
    <w:rsid w:val="33BE6A85"/>
    <w:rsid w:val="33FD275E"/>
    <w:rsid w:val="349F7B02"/>
    <w:rsid w:val="35F34347"/>
    <w:rsid w:val="364461C7"/>
    <w:rsid w:val="38112354"/>
    <w:rsid w:val="3863117D"/>
    <w:rsid w:val="387B3BCB"/>
    <w:rsid w:val="38D25411"/>
    <w:rsid w:val="38EA674B"/>
    <w:rsid w:val="39560A06"/>
    <w:rsid w:val="3A3E5023"/>
    <w:rsid w:val="3A7A4F8D"/>
    <w:rsid w:val="3AAF1A10"/>
    <w:rsid w:val="3BAC0ADC"/>
    <w:rsid w:val="3BE24AFD"/>
    <w:rsid w:val="3CF72980"/>
    <w:rsid w:val="3D5C7D51"/>
    <w:rsid w:val="3E3F4172"/>
    <w:rsid w:val="3E975336"/>
    <w:rsid w:val="3ED02554"/>
    <w:rsid w:val="3F580049"/>
    <w:rsid w:val="409C78F5"/>
    <w:rsid w:val="40A23C21"/>
    <w:rsid w:val="410D78D1"/>
    <w:rsid w:val="4124226F"/>
    <w:rsid w:val="41E31EE2"/>
    <w:rsid w:val="41E33A75"/>
    <w:rsid w:val="43486831"/>
    <w:rsid w:val="4353461C"/>
    <w:rsid w:val="446027FF"/>
    <w:rsid w:val="44AD78B1"/>
    <w:rsid w:val="451734DF"/>
    <w:rsid w:val="45295156"/>
    <w:rsid w:val="45E41EDC"/>
    <w:rsid w:val="46627999"/>
    <w:rsid w:val="477F309C"/>
    <w:rsid w:val="479B4221"/>
    <w:rsid w:val="47FB7524"/>
    <w:rsid w:val="4901504D"/>
    <w:rsid w:val="4A8D201B"/>
    <w:rsid w:val="4BCA54F3"/>
    <w:rsid w:val="4BE13385"/>
    <w:rsid w:val="4D0A7DBF"/>
    <w:rsid w:val="4E17624F"/>
    <w:rsid w:val="4EFE4DFB"/>
    <w:rsid w:val="4F070F5D"/>
    <w:rsid w:val="4F2E1B64"/>
    <w:rsid w:val="4FDA32CB"/>
    <w:rsid w:val="502E5335"/>
    <w:rsid w:val="50C378FF"/>
    <w:rsid w:val="510E3114"/>
    <w:rsid w:val="53381E70"/>
    <w:rsid w:val="53586F3D"/>
    <w:rsid w:val="537541C0"/>
    <w:rsid w:val="543E3CC6"/>
    <w:rsid w:val="54445FEC"/>
    <w:rsid w:val="54E0551B"/>
    <w:rsid w:val="559D7B77"/>
    <w:rsid w:val="55F4015B"/>
    <w:rsid w:val="56F757AC"/>
    <w:rsid w:val="571B0E4A"/>
    <w:rsid w:val="58550AC6"/>
    <w:rsid w:val="59A224F7"/>
    <w:rsid w:val="59B10032"/>
    <w:rsid w:val="59BF7AE4"/>
    <w:rsid w:val="5A59667A"/>
    <w:rsid w:val="5AF11767"/>
    <w:rsid w:val="5B373DA8"/>
    <w:rsid w:val="5B4354F5"/>
    <w:rsid w:val="5C766D35"/>
    <w:rsid w:val="5CC02846"/>
    <w:rsid w:val="5DDB5F79"/>
    <w:rsid w:val="5E7D32B9"/>
    <w:rsid w:val="5EFC73A1"/>
    <w:rsid w:val="5F355161"/>
    <w:rsid w:val="60BD4845"/>
    <w:rsid w:val="617B3953"/>
    <w:rsid w:val="618101A7"/>
    <w:rsid w:val="61E26985"/>
    <w:rsid w:val="61E36688"/>
    <w:rsid w:val="620011B3"/>
    <w:rsid w:val="62844BC8"/>
    <w:rsid w:val="62AC6842"/>
    <w:rsid w:val="62CF75A4"/>
    <w:rsid w:val="62DF7D42"/>
    <w:rsid w:val="630942D8"/>
    <w:rsid w:val="649264C6"/>
    <w:rsid w:val="64A510C1"/>
    <w:rsid w:val="652926BB"/>
    <w:rsid w:val="65676CFE"/>
    <w:rsid w:val="65B34C48"/>
    <w:rsid w:val="66155A09"/>
    <w:rsid w:val="67602787"/>
    <w:rsid w:val="6833583F"/>
    <w:rsid w:val="68670783"/>
    <w:rsid w:val="695E71B0"/>
    <w:rsid w:val="6B043771"/>
    <w:rsid w:val="6B1D0798"/>
    <w:rsid w:val="6B5807BB"/>
    <w:rsid w:val="6B790FAF"/>
    <w:rsid w:val="6C114CC4"/>
    <w:rsid w:val="6CA83229"/>
    <w:rsid w:val="6CB132E7"/>
    <w:rsid w:val="6DFF6D02"/>
    <w:rsid w:val="6E14649E"/>
    <w:rsid w:val="6E3C327E"/>
    <w:rsid w:val="6E5A5B0C"/>
    <w:rsid w:val="6E973B1E"/>
    <w:rsid w:val="6FDA1B45"/>
    <w:rsid w:val="6FF43066"/>
    <w:rsid w:val="7003262F"/>
    <w:rsid w:val="700E623C"/>
    <w:rsid w:val="702042F7"/>
    <w:rsid w:val="70206732"/>
    <w:rsid w:val="7036150B"/>
    <w:rsid w:val="70B55E4F"/>
    <w:rsid w:val="71173E6C"/>
    <w:rsid w:val="722C7C94"/>
    <w:rsid w:val="730E1A62"/>
    <w:rsid w:val="732C0771"/>
    <w:rsid w:val="735110F1"/>
    <w:rsid w:val="735D00E7"/>
    <w:rsid w:val="7391614F"/>
    <w:rsid w:val="73E0189B"/>
    <w:rsid w:val="7412437E"/>
    <w:rsid w:val="76F925D4"/>
    <w:rsid w:val="78035A97"/>
    <w:rsid w:val="798066D8"/>
    <w:rsid w:val="79D97D0E"/>
    <w:rsid w:val="7A7071E6"/>
    <w:rsid w:val="7B4D5CFC"/>
    <w:rsid w:val="7BCC0564"/>
    <w:rsid w:val="7BD21811"/>
    <w:rsid w:val="7C055BDB"/>
    <w:rsid w:val="7C296DC9"/>
    <w:rsid w:val="7C407108"/>
    <w:rsid w:val="7CD1247B"/>
    <w:rsid w:val="7CFF79D5"/>
    <w:rsid w:val="7E26180D"/>
    <w:rsid w:val="7E496D88"/>
    <w:rsid w:val="7E806C7D"/>
    <w:rsid w:val="7EC83EA1"/>
    <w:rsid w:val="7ECA5BA0"/>
    <w:rsid w:val="7F743C64"/>
    <w:rsid w:val="7FBF855D"/>
    <w:rsid w:val="7FCA4D33"/>
    <w:rsid w:val="BEFB9544"/>
    <w:rsid w:val="F2D32E24"/>
    <w:rsid w:val="FFF322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仿宋_GB2312" w:cs="Times New Roman"/>
      <w:kern w:val="2"/>
      <w:sz w:val="28"/>
      <w:lang w:val="en-US" w:eastAsia="zh-CN" w:bidi="ar-SA"/>
    </w:rPr>
  </w:style>
  <w:style w:type="paragraph" w:styleId="3">
    <w:name w:val="heading 1"/>
    <w:basedOn w:val="1"/>
    <w:next w:val="1"/>
    <w:link w:val="15"/>
    <w:qFormat/>
    <w:uiPriority w:val="9"/>
    <w:pPr>
      <w:keepNext/>
      <w:keepLines/>
      <w:spacing w:before="340" w:after="330" w:line="578" w:lineRule="auto"/>
      <w:jc w:val="center"/>
      <w:outlineLvl w:val="0"/>
    </w:pPr>
    <w:rPr>
      <w:rFonts w:eastAsia="宋体"/>
      <w:b/>
      <w:bCs/>
      <w:kern w:val="44"/>
      <w:sz w:val="44"/>
      <w:szCs w:val="44"/>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360" w:lineRule="auto"/>
      <w:ind w:firstLine="420"/>
    </w:pPr>
    <w:rPr>
      <w:rFonts w:ascii="宋体"/>
      <w:sz w:val="24"/>
      <w:szCs w:val="20"/>
    </w:rPr>
  </w:style>
  <w:style w:type="paragraph" w:styleId="5">
    <w:name w:val="annotation text"/>
    <w:basedOn w:val="1"/>
    <w:qFormat/>
    <w:uiPriority w:val="0"/>
    <w:pPr>
      <w:jc w:val="left"/>
    </w:pPr>
  </w:style>
  <w:style w:type="paragraph" w:styleId="6">
    <w:name w:val="Plain Text"/>
    <w:basedOn w:val="1"/>
    <w:qFormat/>
    <w:uiPriority w:val="0"/>
    <w:pPr>
      <w:widowControl/>
      <w:autoSpaceDE w:val="0"/>
      <w:autoSpaceDN w:val="0"/>
      <w:adjustRightInd w:val="0"/>
      <w:ind w:firstLine="360"/>
      <w:jc w:val="left"/>
    </w:pPr>
    <w:rPr>
      <w:rFonts w:ascii="宋体" w:hAnsi="Courier New"/>
      <w:szCs w:val="21"/>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character" w:styleId="14">
    <w:name w:val="Hyperlink"/>
    <w:basedOn w:val="13"/>
    <w:unhideWhenUsed/>
    <w:qFormat/>
    <w:uiPriority w:val="99"/>
    <w:rPr>
      <w:color w:val="0563C1"/>
      <w:u w:val="single"/>
    </w:rPr>
  </w:style>
  <w:style w:type="character" w:customStyle="1" w:styleId="15">
    <w:name w:val="标题 1 Char"/>
    <w:link w:val="3"/>
    <w:qFormat/>
    <w:uiPriority w:val="9"/>
    <w:rPr>
      <w:rFonts w:eastAsia="宋体"/>
      <w:b/>
      <w:bCs/>
      <w:kern w:val="44"/>
      <w:sz w:val="44"/>
      <w:szCs w:val="44"/>
    </w:rPr>
  </w:style>
  <w:style w:type="character" w:customStyle="1" w:styleId="16">
    <w:name w:val="font01"/>
    <w:basedOn w:val="13"/>
    <w:qFormat/>
    <w:uiPriority w:val="0"/>
    <w:rPr>
      <w:rFonts w:hint="default" w:ascii="Times New Roman" w:hAnsi="Times New Roman" w:cs="Times New Roman"/>
      <w:color w:val="000000"/>
      <w:sz w:val="21"/>
      <w:szCs w:val="21"/>
      <w:u w:val="none"/>
    </w:rPr>
  </w:style>
  <w:style w:type="character" w:customStyle="1" w:styleId="17">
    <w:name w:val="font21"/>
    <w:basedOn w:val="13"/>
    <w:qFormat/>
    <w:uiPriority w:val="0"/>
    <w:rPr>
      <w:rFonts w:hint="default" w:ascii="Times New Roman" w:hAnsi="Times New Roman" w:cs="Times New Roman"/>
      <w:color w:val="000000"/>
      <w:sz w:val="14"/>
      <w:szCs w:val="14"/>
      <w:u w:val="none"/>
    </w:rPr>
  </w:style>
  <w:style w:type="character" w:customStyle="1" w:styleId="18">
    <w:name w:val="批注框文本 Char"/>
    <w:basedOn w:val="13"/>
    <w:link w:val="7"/>
    <w:qFormat/>
    <w:uiPriority w:val="0"/>
    <w:rPr>
      <w:rFonts w:eastAsia="仿宋_GB2312"/>
      <w:kern w:val="2"/>
      <w:sz w:val="18"/>
      <w:szCs w:val="18"/>
    </w:rPr>
  </w:style>
  <w:style w:type="paragraph" w:customStyle="1" w:styleId="19">
    <w:name w:val="_Style 18"/>
    <w:basedOn w:val="3"/>
    <w:next w:val="1"/>
    <w:unhideWhenUsed/>
    <w:qFormat/>
    <w:uiPriority w:val="39"/>
    <w:pPr>
      <w:widowControl/>
      <w:spacing w:before="480" w:after="0" w:line="276" w:lineRule="auto"/>
      <w:ind w:firstLine="0" w:firstLineChars="0"/>
      <w:jc w:val="left"/>
      <w:outlineLvl w:val="9"/>
    </w:pPr>
    <w:rPr>
      <w:rFonts w:ascii="Cambria" w:hAnsi="Cambria" w:eastAsia="宋体" w:cs="Times New Roman"/>
      <w:color w:val="365F91"/>
      <w:kern w:val="0"/>
      <w:sz w:val="28"/>
      <w:szCs w:val="28"/>
    </w:rPr>
  </w:style>
  <w:style w:type="paragraph" w:customStyle="1" w:styleId="20">
    <w:name w:val="WPSOffice手动目录 2"/>
    <w:qFormat/>
    <w:uiPriority w:val="0"/>
    <w:pPr>
      <w:ind w:leftChars="200"/>
    </w:pPr>
    <w:rPr>
      <w:rFonts w:ascii="Times New Roman" w:hAnsi="Times New Roman" w:eastAsia="宋体" w:cs="Times New Roman"/>
      <w:lang w:val="en-US" w:eastAsia="zh-CN" w:bidi="ar-SA"/>
    </w:rPr>
  </w:style>
  <w:style w:type="paragraph" w:customStyle="1" w:styleId="21">
    <w:name w:val="Normal_28_0"/>
    <w:qFormat/>
    <w:uiPriority w:val="0"/>
    <w:pPr>
      <w:spacing w:before="120" w:after="240"/>
      <w:jc w:val="both"/>
    </w:pPr>
    <w:rPr>
      <w:rFonts w:ascii="Calibri" w:hAnsi="Calibri" w:eastAsia="Calibri" w:cs="Times New Roman"/>
      <w:sz w:val="22"/>
      <w:szCs w:val="22"/>
      <w:lang w:val="en-US" w:eastAsia="en-US" w:bidi="ar-SA"/>
    </w:rPr>
  </w:style>
  <w:style w:type="paragraph" w:customStyle="1" w:styleId="22">
    <w:name w:val="正文 New"/>
    <w:qFormat/>
    <w:uiPriority w:val="0"/>
    <w:pPr>
      <w:widowControl w:val="0"/>
      <w:snapToGrid w:val="0"/>
      <w:spacing w:before="60" w:after="60"/>
      <w:jc w:val="both"/>
    </w:pPr>
    <w:rPr>
      <w:rFonts w:ascii="Times New Roman" w:hAnsi="Times New Roman" w:eastAsia="宋体" w:cs="Times New Roman"/>
      <w:kern w:val="2"/>
      <w:sz w:val="24"/>
      <w:lang w:val="en-US" w:eastAsia="zh-CN" w:bidi="ar-SA"/>
    </w:rPr>
  </w:style>
  <w:style w:type="paragraph" w:customStyle="1" w:styleId="23">
    <w:name w:val="TOC Heading"/>
    <w:basedOn w:val="3"/>
    <w:next w:val="1"/>
    <w:unhideWhenUsed/>
    <w:qFormat/>
    <w:uiPriority w:val="39"/>
    <w:pPr>
      <w:widowControl/>
      <w:spacing w:before="480" w:after="0" w:line="276" w:lineRule="auto"/>
      <w:ind w:firstLine="0" w:firstLineChars="0"/>
      <w:jc w:val="left"/>
      <w:outlineLvl w:val="9"/>
    </w:pPr>
    <w:rPr>
      <w:rFonts w:ascii="Calibri Light" w:hAnsi="Calibri Light" w:eastAsia="宋体" w:cs="Times New Roman"/>
      <w:color w:val="2E75B5"/>
      <w:kern w:val="0"/>
      <w:sz w:val="28"/>
      <w:szCs w:val="28"/>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Normal_9"/>
    <w:qFormat/>
    <w:uiPriority w:val="0"/>
    <w:pPr>
      <w:spacing w:before="120" w:after="240"/>
      <w:jc w:val="both"/>
    </w:pPr>
    <w:rPr>
      <w:rFonts w:ascii="Calibri" w:hAnsi="Calibri" w:eastAsia="Calibri" w:cs="Times New Roman"/>
      <w:sz w:val="22"/>
      <w:szCs w:val="22"/>
      <w:lang w:val="en-US" w:eastAsia="en-US" w:bidi="ar-SA"/>
    </w:rPr>
  </w:style>
  <w:style w:type="paragraph" w:customStyle="1" w:styleId="26">
    <w:name w:val="文章正文"/>
    <w:basedOn w:val="1"/>
    <w:next w:val="1"/>
    <w:qFormat/>
    <w:uiPriority w:val="0"/>
    <w:pPr>
      <w:spacing w:line="360" w:lineRule="auto"/>
      <w:ind w:firstLine="480"/>
    </w:pPr>
    <w:rPr>
      <w:rFonts w:hAnsi="宋体" w:eastAsia="宋体" w:cs="宋体"/>
      <w:sz w:val="24"/>
    </w:rPr>
  </w:style>
  <w:style w:type="paragraph" w:customStyle="1" w:styleId="27">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9625</Words>
  <Characters>10071</Characters>
  <Lines>45</Lines>
  <Paragraphs>12</Paragraphs>
  <TotalTime>38</TotalTime>
  <ScaleCrop>false</ScaleCrop>
  <LinksUpToDate>false</LinksUpToDate>
  <CharactersWithSpaces>10275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2019-06-07T06:22:00Z</dcterms:created>
  <dc:creator>admin</dc:creator>
  <dc:description>国家能源集团非招标采购示范文本
版本：第一版
编辑：国电物资集团
定稿：2019年10月07日</dc:description>
  <cp:lastModifiedBy>刘胜金</cp:lastModifiedBy>
  <dcterms:modified xsi:type="dcterms:W3CDTF">2024-10-31T10:58:37Z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FE05280161434BDDA9022B81D8C749EF</vt:lpwstr>
  </property>
</Properties>
</file>